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r>
        <w:rPr>
          <w:rFonts w:ascii="方正仿宋_GBK" w:eastAsia="方正仿宋_GBK" w:cs="方正仿宋_GBK" w:hint="eastAsia"/>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rPr>
      </w:pPr>
      <w:r>
        <w:rPr>
          <w:rFonts w:eastAsia="方正小标宋_GBK"/>
          <w:sz w:val="44"/>
        </w:rPr>
        <w:t>重庆市江津区规划和自然资源局</w:t>
      </w:r>
    </w:p>
    <w:p>
      <w:pPr>
        <w:pStyle w:val="20"/>
        <w:keepNext w:val="0"/>
        <w:keepLines w:val="0"/>
        <w:pageBreakBefore w:val="0"/>
        <w:widowControl w:val="0"/>
        <w:kinsoku/>
        <w:wordWrap/>
        <w:overflowPunct/>
        <w:topLinePunct w:val="0"/>
        <w:autoSpaceDE/>
        <w:autoSpaceDN/>
        <w:adjustRightInd/>
        <w:snapToGrid/>
        <w:spacing w:line="540" w:lineRule="exact"/>
        <w:ind w:left="0"/>
        <w:jc w:val="center"/>
        <w:rPr>
          <w:rStyle w:val="19"/>
          <w:rFonts w:ascii="方正小标宋_GBK" w:eastAsia="方正小标宋_GBK" w:cs="方正小标宋_GBK" w:hint="eastAsia"/>
          <w:b w:val="0"/>
          <w:kern w:val="2"/>
          <w:sz w:val="44"/>
          <w:szCs w:val="44"/>
          <w:shd w:val="clear" w:color="auto" w:fill="FFFFFF"/>
        </w:rPr>
      </w:pPr>
      <w:r>
        <w:rPr>
          <w:rFonts w:eastAsia="方正小标宋_GBK"/>
          <w:snapToGrid w:val="0"/>
          <w:kern w:val="0"/>
          <w:sz w:val="44"/>
          <w:szCs w:val="44"/>
        </w:rPr>
        <w:t>关于废止我局部分行政规范性文件的通知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ascii="Times New Roman" w:eastAsia="方正仿宋_GBK" w:cs="Times New Roman" w:hAnsi="Times New Roman"/>
          <w:i w:val="0"/>
          <w:caps w:val="0"/>
          <w:smallCaps w:val="0"/>
          <w:color w:val="auto"/>
          <w:spacing w:val="0"/>
          <w:sz w:val="44"/>
          <w:szCs w:val="44"/>
          <w:shd w:val="clear" w:color="auto" w:fill="FFFFFF"/>
          <w:lang w:eastAsia="zh-CN"/>
        </w:rPr>
      </w:pPr>
      <w:r>
        <w:rPr>
          <w:rFonts w:ascii="Times New Roman" w:eastAsia="方正仿宋_GBK" w:cs="Times New Roman" w:hAnsi="Times New Roman"/>
          <w:sz w:val="32"/>
          <w:szCs w:val="32"/>
          <w:lang w:val="en-US" w:eastAsia="zh-CN"/>
        </w:rPr>
        <w:t>江津规资规范</w:t>
      </w:r>
      <w:r>
        <w:rPr>
          <w:rFonts w:ascii="Times New Roman" w:eastAsia="方正仿宋_GBK" w:cs="Times New Roman" w:hAnsi="Times New Roman" w:hint="eastAsia"/>
          <w:sz w:val="32"/>
          <w:szCs w:val="32"/>
          <w:lang w:val="en-US" w:eastAsia="zh-CN"/>
        </w:rPr>
        <w:t>〔202</w:t>
      </w:r>
      <w:r>
        <w:rPr>
          <w:rFonts w:ascii="Times New Roman" w:eastAsia="方正仿宋_GBK" w:cs="Times New Roman" w:hAnsi="Times New Roman"/>
          <w:sz w:val="32"/>
          <w:szCs w:val="32"/>
          <w:lang w:val="en-US" w:eastAsia="zh-CN"/>
        </w:rPr>
        <w:t>3</w:t>
      </w:r>
      <w:r>
        <w:rPr>
          <w:rFonts w:ascii="Times New Roman" w:eastAsia="方正仿宋_GBK" w:cs="Times New Roman" w:hAnsi="Times New Roman" w:hint="eastAsia"/>
          <w:sz w:val="32"/>
          <w:szCs w:val="32"/>
          <w:lang w:val="en-US" w:eastAsia="zh-CN"/>
        </w:rPr>
        <w:t>〕</w:t>
      </w:r>
      <w:r>
        <w:rPr>
          <w:rFonts w:ascii="Times New Roman" w:eastAsia="方正仿宋_GBK" w:cs="Times New Roman" w:hAnsi="Times New Roman"/>
          <w:sz w:val="32"/>
          <w:szCs w:val="32"/>
          <w:lang w:val="en-US" w:eastAsia="zh-CN"/>
        </w:rPr>
        <w:t>2</w:t>
      </w:r>
      <w:r>
        <w:rPr>
          <w:rFonts w:ascii="Times New Roman" w:eastAsia="方正仿宋_GBK" w:cs="Times New Roman" w:hAnsi="Times New Roman" w:hint="eastAsia"/>
          <w:sz w:val="32"/>
          <w:szCs w:val="32"/>
          <w:lang w:val="en-US" w:eastAsia="zh-CN"/>
        </w:rPr>
        <w:t>号</w:t>
      </w:r>
    </w:p>
    <w:p>
      <w:pPr>
        <w:keepNext w:val="0"/>
        <w:keepLines w:val="0"/>
        <w:pageBreakBefore w:val="0"/>
        <w:widowControl w:val="0"/>
        <w:kinsoku/>
        <w:overflowPunct/>
        <w:topLinePunct w:val="0"/>
        <w:bidi w:val="0"/>
        <w:spacing w:line="600" w:lineRule="atLeast"/>
        <w:ind w:left="0" w:right="0"/>
        <w:jc w:val="center"/>
        <w:textAlignment w:val="auto"/>
        <w:rPr>
          <w:rFonts w:ascii="宋体" w:eastAsia="宋体" w:cs="宋体" w:hint="eastAsia"/>
          <w:i w:val="0"/>
          <w:caps w:val="0"/>
          <w:smallCaps w:val="0"/>
          <w:color w:val="auto"/>
          <w:spacing w:val="0"/>
          <w:sz w:val="44"/>
          <w:szCs w:val="44"/>
          <w:shd w:val="clear" w:color="auto" w:fill="FFFFFF"/>
          <w:lang w:val="en-US" w:eastAsia="zh-CN"/>
        </w:rPr>
      </w:pPr>
    </w:p>
    <w:p>
      <w:pPr>
        <w:ind w:left="0"/>
        <w:rPr>
          <w:rFonts w:eastAsia="方正仿宋_GBK"/>
          <w:sz w:val="32"/>
          <w:szCs w:val="32"/>
        </w:rPr>
      </w:pPr>
      <w:r>
        <w:rPr>
          <w:rFonts w:eastAsia="方正仿宋_GBK"/>
          <w:sz w:val="32"/>
          <w:szCs w:val="32"/>
        </w:rPr>
        <w:t>各镇街人民政府、街道办事处，区政府各部门，有关单位：</w:t>
      </w:r>
    </w:p>
    <w:p>
      <w:pPr>
        <w:ind w:firstLineChars="200" w:firstLine="640"/>
        <w:rPr>
          <w:rFonts w:eastAsia="方正仿宋_GBK"/>
          <w:sz w:val="32"/>
          <w:szCs w:val="32"/>
        </w:rPr>
      </w:pPr>
      <w:r>
        <w:rPr>
          <w:rFonts w:eastAsia="方正仿宋_GBK"/>
          <w:sz w:val="32"/>
          <w:szCs w:val="32"/>
        </w:rPr>
        <w:t>根据《重庆市行政规范性文件管理办法》（重庆市人民政府令329号）规定，现决定将《</w:t>
      </w:r>
      <w:r>
        <w:rPr>
          <w:rFonts w:eastAsia="方正仿宋_GBK"/>
          <w:snapToGrid w:val="0"/>
          <w:sz w:val="32"/>
          <w:szCs w:val="32"/>
        </w:rPr>
        <w:t>重庆市江津区国土资源和房屋管理局关于进一步加强临时用地管理的通知</w:t>
      </w:r>
      <w:r>
        <w:rPr>
          <w:rFonts w:eastAsia="方正仿宋_GBK"/>
          <w:sz w:val="32"/>
          <w:szCs w:val="32"/>
        </w:rPr>
        <w:t>》（江津国土房管发〔2017〕260号）等3个文件予以废止。</w:t>
      </w:r>
    </w:p>
    <w:p>
      <w:pPr>
        <w:ind w:firstLineChars="200" w:firstLine="640"/>
        <w:rPr>
          <w:rFonts w:eastAsia="方正仿宋_GBK"/>
          <w:sz w:val="32"/>
          <w:szCs w:val="32"/>
        </w:rPr>
      </w:pPr>
      <w:r>
        <w:rPr>
          <w:rFonts w:eastAsia="方正仿宋_GBK"/>
          <w:sz w:val="32"/>
          <w:szCs w:val="32"/>
        </w:rPr>
        <w:t>本通知自公布之日起施行。</w:t>
      </w:r>
    </w:p>
    <w:p>
      <w:pPr>
        <w:ind w:firstLineChars="200" w:firstLine="640"/>
        <w:rPr>
          <w:rFonts w:eastAsia="方正仿宋_GBK"/>
          <w:sz w:val="32"/>
          <w:szCs w:val="32"/>
        </w:rPr>
      </w:pPr>
    </w:p>
    <w:p>
      <w:pPr>
        <w:keepNext w:val="0"/>
        <w:keepLines w:val="0"/>
        <w:pageBreakBefore w:val="0"/>
        <w:widowControl w:val="0"/>
        <w:kinsoku/>
        <w:wordWrap/>
        <w:overflowPunct/>
        <w:topLinePunct w:val="0"/>
        <w:autoSpaceDE/>
        <w:autoSpaceDN/>
        <w:bidi w:val="0"/>
        <w:adjustRightInd w:val="0"/>
        <w:snapToGrid/>
        <w:ind w:rightChars="-50" w:right="-105" w:firstLineChars="200" w:firstLine="640"/>
        <w:textAlignment w:val="auto"/>
        <w:rPr>
          <w:rFonts w:eastAsia="方正仿宋_GBK"/>
          <w:szCs w:val="32"/>
        </w:rPr>
      </w:pPr>
      <w:r>
        <w:rPr>
          <w:rFonts w:eastAsia="方正仿宋_GBK"/>
          <w:sz w:val="32"/>
          <w:szCs w:val="32"/>
        </w:rPr>
        <w:t>附件：废止的我局部分行政规范性文件目录</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eastAsia="方正仿宋_GBK"/>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eastAsia="方正仿宋_GBK"/>
          <w:kern w:val="2"/>
          <w:sz w:val="32"/>
          <w:szCs w:val="32"/>
          <w:lang w:val="en-US" w:eastAsia="zh-CN" w:bidi="ar-SA"/>
        </w:rPr>
      </w:pPr>
    </w:p>
    <w:p>
      <w:pPr>
        <w:ind w:firstLineChars="200" w:firstLine="640"/>
        <w:jc w:val="right"/>
        <w:rPr>
          <w:rFonts w:eastAsia="方正仿宋_GBK"/>
          <w:sz w:val="32"/>
          <w:szCs w:val="32"/>
        </w:rPr>
      </w:pPr>
      <w:r>
        <w:rPr>
          <w:rFonts w:eastAsia="方正仿宋_GBK"/>
          <w:sz w:val="32"/>
          <w:szCs w:val="32"/>
        </w:rPr>
        <w:t>重庆市江津区规划和自然资源局</w:t>
      </w:r>
    </w:p>
    <w:p>
      <w:pPr>
        <w:ind w:firstLineChars="200" w:firstLine="640"/>
        <w:rPr>
          <w:rFonts w:eastAsia="方正仿宋_GBK"/>
          <w:sz w:val="32"/>
          <w:szCs w:val="32"/>
        </w:rPr>
      </w:pPr>
      <w:r>
        <w:rPr>
          <w:rFonts w:eastAsia="方正仿宋_GBK"/>
          <w:sz w:val="32"/>
          <w:szCs w:val="32"/>
        </w:rPr>
        <w:t xml:space="preserve">                            </w:t>
      </w:r>
      <w:r>
        <w:rPr>
          <w:rFonts w:eastAsia="方正仿宋_GBK"/>
          <w:sz w:val="32"/>
          <w:szCs w:val="32"/>
          <w:lang w:val="en-US" w:eastAsia="zh-CN"/>
        </w:rPr>
        <w:t xml:space="preserve">    </w:t>
      </w:r>
      <w:r>
        <w:rPr>
          <w:rFonts w:eastAsia="方正仿宋_GBK"/>
          <w:sz w:val="32"/>
          <w:szCs w:val="32"/>
        </w:rPr>
        <w:t>20</w:t>
      </w:r>
      <w:r>
        <w:rPr>
          <w:rFonts w:eastAsia="方正仿宋_GBK"/>
          <w:sz w:val="32"/>
          <w:szCs w:val="32"/>
          <w:lang w:val="en-US" w:eastAsia="zh-CN"/>
        </w:rPr>
        <w:t>23</w:t>
      </w:r>
      <w:r>
        <w:rPr>
          <w:rFonts w:eastAsia="方正仿宋_GBK"/>
          <w:sz w:val="32"/>
          <w:szCs w:val="32"/>
        </w:rPr>
        <w:t>年3月20日</w:t>
      </w:r>
      <w:r>
        <w:rPr>
          <w:rFonts w:eastAsia="方正仿宋_GBK"/>
          <w:sz w:val="32"/>
          <w:szCs w:val="32"/>
        </w:rPr>
        <w:t xml:space="preserve">  </w:t>
      </w:r>
      <w:r>
        <w:rPr>
          <w:rFonts w:eastAsia="方正仿宋_GBK"/>
          <w:sz w:val="32"/>
          <w:szCs w:val="32"/>
        </w:rPr>
        <w:t xml:space="preserve">  </w:t>
      </w:r>
    </w:p>
    <w:p>
      <w:pPr>
        <w:ind w:firstLineChars="200" w:firstLine="640"/>
        <w:rPr>
          <w:rFonts w:eastAsia="方正仿宋_GBK"/>
          <w:sz w:val="32"/>
          <w:szCs w:val="32"/>
        </w:rPr>
      </w:pPr>
    </w:p>
    <w:p>
      <w:pPr>
        <w:ind w:firstLineChars="200" w:firstLine="640"/>
        <w:rPr>
          <w:rFonts w:eastAsia="方正仿宋_GBK"/>
          <w:sz w:val="32"/>
          <w:szCs w:val="32"/>
        </w:rPr>
      </w:pPr>
    </w:p>
    <w:p>
      <w:pPr>
        <w:keepNext w:val="0"/>
        <w:keepLines w:val="0"/>
        <w:pageBreakBefore w:val="0"/>
        <w:widowControl w:val="0"/>
        <w:kinsoku/>
        <w:wordWrap/>
        <w:overflowPunct/>
        <w:topLinePunct w:val="0"/>
        <w:autoSpaceDE/>
        <w:autoSpaceDN/>
        <w:adjustRightInd/>
        <w:snapToGrid/>
        <w:spacing w:line="560" w:lineRule="exact"/>
        <w:rPr>
          <w:rFonts w:eastAsia="方正黑体_GBK"/>
          <w:sz w:val="32"/>
          <w:szCs w:val="32"/>
          <w:lang w:val="en-US" w:eastAsia="zh-CN" w:bidi="ar-SA"/>
        </w:rPr>
      </w:pPr>
      <w:r>
        <w:rPr>
          <w:rFonts w:eastAsia="方正黑体_GBK"/>
          <w:sz w:val="32"/>
          <w:szCs w:val="32"/>
          <w:lang w:val="en-US" w:eastAsia="zh-CN" w:bidi="ar-SA"/>
        </w:rPr>
        <w:t>附件</w:t>
      </w:r>
    </w:p>
    <w:p>
      <w:pPr>
        <w:spacing w:line="560" w:lineRule="exact"/>
        <w:ind w:left="0"/>
        <w:jc w:val="center"/>
        <w:rPr>
          <w:rFonts w:ascii="方正小标宋_GBK" w:eastAsia="方正小标宋_GBK" w:cs="方正仿宋_GBK" w:hint="eastAsia"/>
          <w:sz w:val="44"/>
          <w:szCs w:val="44"/>
          <w:lang w:bidi="ar-SA"/>
        </w:rPr>
      </w:pPr>
      <w:r>
        <w:rPr>
          <w:rFonts w:ascii="方正小标宋_GBK" w:eastAsia="方正小标宋_GBK" w:cs="方正仿宋_GBK" w:hint="eastAsia"/>
          <w:sz w:val="44"/>
          <w:szCs w:val="44"/>
          <w:lang w:bidi="ar-SA"/>
        </w:rPr>
        <w:t>废止的我局部分行政规范性文件目录</w:t>
      </w:r>
    </w:p>
    <w:p>
      <w:pPr>
        <w:ind w:firstLineChars="200" w:firstLine="640"/>
        <w:jc w:val="center"/>
        <w:rPr>
          <w:rFonts w:ascii="方正黑体_GBK" w:eastAsia="方正黑体_GBK" w:cs="方正仿宋_GBK" w:hint="eastAsia"/>
          <w:sz w:val="32"/>
          <w:szCs w:val="32"/>
          <w:lang w:bidi="ar-SA"/>
        </w:rPr>
      </w:pPr>
      <w:bookmarkStart w:id="0" w:name="_GoBack"/>
      <w:bookmarkEnd w:id="0"/>
    </w:p>
    <w:p>
      <w:pPr>
        <w:ind w:left="0"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napToGrid w:val="0"/>
          <w:sz w:val="32"/>
          <w:szCs w:val="32"/>
          <w:lang w:bidi="ar-SA"/>
        </w:rPr>
        <w:t>一、《重庆市江津区国土资源和房屋管理局关于进一步加强临时用地管理的通知</w:t>
      </w:r>
      <w:r>
        <w:rPr>
          <w:rFonts w:ascii="方正仿宋_GBK" w:eastAsia="方正仿宋_GBK" w:cs="方正仿宋_GBK" w:hint="eastAsia"/>
          <w:sz w:val="32"/>
          <w:szCs w:val="32"/>
          <w:lang w:bidi="ar-SA"/>
        </w:rPr>
        <w:t>》（江津国土房管发〔2017〕260号）</w:t>
      </w:r>
    </w:p>
    <w:p>
      <w:pPr>
        <w:ind w:left="0" w:firstLineChars="200" w:firstLine="640"/>
        <w:rPr>
          <w:rFonts w:ascii="方正仿宋_GBK" w:eastAsia="方正仿宋_GBK" w:cs="方正仿宋_GBK" w:hint="eastAsia"/>
          <w:snapToGrid w:val="0"/>
          <w:sz w:val="32"/>
          <w:szCs w:val="32"/>
          <w:lang w:bidi="ar-SA"/>
        </w:rPr>
      </w:pPr>
      <w:r>
        <w:rPr>
          <w:rFonts w:ascii="方正仿宋_GBK" w:eastAsia="方正仿宋_GBK" w:cs="方正仿宋_GBK" w:hint="eastAsia"/>
          <w:sz w:val="32"/>
          <w:szCs w:val="32"/>
          <w:lang w:bidi="ar-SA"/>
        </w:rPr>
        <w:t>二</w:t>
      </w:r>
      <w:r>
        <w:rPr>
          <w:rFonts w:ascii="方正仿宋_GBK" w:eastAsia="方正仿宋_GBK" w:cs="方正仿宋_GBK" w:hint="eastAsia"/>
          <w:snapToGrid w:val="0"/>
          <w:sz w:val="32"/>
          <w:szCs w:val="32"/>
          <w:lang w:bidi="ar-SA"/>
        </w:rPr>
        <w:t>、《重庆市江津区国土资源和房屋管理局关于进一步优化土地房屋权属登记须知的通知》（江津国土房管发〔2014〕74号）</w:t>
      </w:r>
    </w:p>
    <w:p>
      <w:pPr>
        <w:keepNext w:val="0"/>
        <w:keepLines w:val="0"/>
        <w:pageBreakBefore w:val="0"/>
        <w:widowControl w:val="0"/>
        <w:kinsoku/>
        <w:wordWrap/>
        <w:overflowPunct/>
        <w:topLinePunct w:val="0"/>
        <w:autoSpaceDE/>
        <w:autoSpaceDN/>
        <w:adjustRightInd/>
        <w:snapToGrid/>
        <w:ind w:firstLineChars="200" w:firstLine="640"/>
        <w:rPr>
          <w:rFonts w:eastAsia="方正黑体_GBK"/>
          <w:szCs w:val="32"/>
          <w:lang w:val="en-US" w:eastAsia="zh-CN" w:bidi="ar-SA"/>
        </w:rPr>
      </w:pPr>
      <w:r>
        <w:rPr>
          <w:rFonts w:ascii="方正仿宋_GBK" w:eastAsia="方正仿宋_GBK" w:cs="方正仿宋_GBK" w:hint="eastAsia"/>
          <w:snapToGrid w:val="0"/>
          <w:sz w:val="32"/>
          <w:szCs w:val="32"/>
          <w:lang w:bidi="ar-SA"/>
        </w:rPr>
        <w:t>三、《重庆市江津区国土资源和房屋管理局 关于进一步规范农村不动产（土地房屋）登记有关问题的通知》（江津国土房管发〔2017〕240号）</w:t>
      </w:r>
    </w:p>
    <w:p>
      <w:pPr>
        <w:ind w:firstLineChars="200" w:firstLine="640"/>
        <w:rPr>
          <w:rFonts w:eastAsia="方正仿宋_GBK"/>
          <w:sz w:val="32"/>
          <w:szCs w:val="32"/>
        </w:rPr>
      </w:pPr>
    </w:p>
    <w:sectPr>
      <w:headerReference w:type="default" r:id="rId2"/>
      <w:footerReference w:type="default" r:id="rId3"/>
      <w:pgSz w:w="11907" w:h="16840"/>
      <w:pgMar w:top="1962" w:right="1474" w:bottom="1848" w:left="1588" w:header="851" w:footer="992" w:gutter="0"/>
      <w:pgNumType w:fmt="numberInDash"/>
      <w:rtlGutter/>
      <w:docGrid w:type="lines" w:linePitch="316"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01"/>
    <w:family w:val="roman"/>
    <w:pitch w:val="variable"/>
    <w:sig w:usb0="E0002AFF" w:usb1="C0007841" w:usb2="00000009" w:usb3="00000000" w:csb0="400001FF" w:csb1="FFFF0000"/>
  </w:font>
  <w:font w:name="方正黑体_GBK">
    <w:panose1 w:val="03000509000000000000"/>
    <w:charset w:val="86"/>
    <w:family w:val="auto"/>
    <w:pitch w:val="variable"/>
    <w:sig w:usb0="00000001" w:usb1="080E0000" w:usb2="00000000" w:usb3="00000000" w:csb0="00040000"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leftChars="2280" w:left="4788" w:firstLineChars="2000" w:firstLine="6400"/>
      <w:rPr>
        <w:sz w:val="32"/>
      </w:rPr>
    </w:pPr>
    <w:r>
      <w:rPr>
        <w:sz w:val="32"/>
      </w:rPr>
      <mc:AlternateContent>
        <mc:Choice Requires="wps">
          <w:drawing>
            <wp:anchor distT="0" distB="0" distL="114298" distR="114298" simplePos="0" relativeHeight="21"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6" name="文本框 10"/>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7">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10 8" o:spid="_x0000_s8" filled="f" stroked="f" strokeweight="0.5pt" style="position:absolute;margin-left:0.0pt;margin-top:0.0pt;width:34.999985pt;height:18.130003pt;z-index:21;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p>
    <w:pPr>
      <w:pStyle w:val="17"/>
      <w:tabs>
        <w:tab w:val="center" w:pos="4153"/>
        <w:tab w:val="right" w:pos="8306"/>
      </w:tabs>
      <w:ind w:leftChars="2280" w:left="4788" w:firstLineChars="2000" w:firstLine="6400"/>
      <w:rPr>
        <w:sz w:val="32"/>
      </w:rPr>
    </w:pPr>
    <w:r>
      <w:rPr>
        <w:color w:val="FAFAFA"/>
        <w:sz w:val="32"/>
      </w:rPr>
      <mc:AlternateContent>
        <mc:Choice Requires="wps">
          <w:drawing>
            <wp:anchor distT="0" distB="0" distL="114298" distR="114298" simplePos="0" relativeHeight="19" behindDoc="0" locked="0" layoutInCell="1" hidden="0" allowOverlap="1">
              <wp:simplePos x="0" y="0"/>
              <wp:positionH relativeFrom="column">
                <wp:posOffset>1333</wp:posOffset>
              </wp:positionH>
              <wp:positionV relativeFrom="paragraph">
                <wp:posOffset>157445</wp:posOffset>
              </wp:positionV>
              <wp:extent cx="5618304" cy="34017"/>
              <wp:effectExtent l="0" t="0" r="0" b="0"/>
              <wp:wrapNone/>
              <wp:docPr id="9" name="直接连接符 11"/>
              <wp:cNvGraphicFramePr>
                <a:graphicFrameLocks noChangeAspect="0"/>
              </wp:cNvGraphicFramePr>
              <a:graphic>
                <a:graphicData uri="http://schemas.microsoft.com/office/word/2010/wordprocessingShape">
                  <wps:wsp>
                    <wps:cNvSpPr/>
                    <wps:spPr>
                      <a:xfrm rot="0">
                        <a:off x="0" y="0"/>
                        <a:ext cx="5618304" cy="34017"/>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1 10" o:spid="_x0000_s10" from="0.10499794pt,12.397287pt" to="442.49115pt,15.075805pt" filled="f" stroked="t" strokeweight="1.75pt" style="position:absolute;z-index:19;mso-position-horizontal:absolute;mso-position-vertical:absolute;mso-wrap-distance-left:8.999863pt;mso-wrap-distance-right:8.999863pt;visibility:visible;">
              <v:stroke color="#005192"/>
            </v:line>
          </w:pict>
        </mc:Fallback>
      </mc:AlternateContent>
    </w:r>
  </w:p>
  <w:p>
    <w:pPr>
      <w:pStyle w:val="17"/>
      <w:tabs>
        <w:tab w:val="center" w:pos="4153"/>
        <w:tab w:val="right" w:pos="8306"/>
      </w:tabs>
      <w:wordWrap w:val="0"/>
      <w:jc w:val="right"/>
      <w:rPr>
        <w:rFonts w:ascii="宋体" w:eastAsia="宋体" w:cs="宋体" w:hint="eastAsia"/>
        <w:b/>
        <w:bCs/>
        <w:color w:val="005192"/>
        <w:sz w:val="28"/>
        <w:szCs w:val="44"/>
        <w:lang w:val="en-US" w:eastAsia="zh-CN"/>
      </w:rPr>
    </w:pPr>
    <w:r>
      <w:rPr>
        <w:rFonts w:ascii="宋体" w:eastAsia="宋体" w:cs="宋体"/>
        <w:b/>
        <w:bCs/>
        <w:color w:val="005192"/>
        <w:sz w:val="28"/>
        <w:szCs w:val="44"/>
      </w:rPr>
      <w:t>重庆市江津区规划和自然资源局</w:t>
    </w:r>
    <w:r>
      <w:rPr>
        <w:rFonts w:ascii="宋体" w:eastAsia="宋体" w:cs="宋体" w:hint="eastAsia"/>
        <w:b/>
        <w:bCs/>
        <w:color w:val="005192"/>
        <w:sz w:val="28"/>
        <w:szCs w:val="44"/>
        <w:lang w:val="en-US" w:eastAsia="zh-CN"/>
      </w:rPr>
      <w:t>发布</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hint="eastAsia"/>
        <w:b/>
        <w:bCs/>
        <w:color w:val="005192"/>
        <w:sz w:val="32"/>
        <w:szCs w:val="32"/>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114298" distR="114298" simplePos="0" relativeHeight="17" behindDoc="0" locked="0" layoutInCell="1" hidden="0" allowOverlap="1">
              <wp:simplePos x="0" y="0"/>
              <wp:positionH relativeFrom="column">
                <wp:posOffset>16573</wp:posOffset>
              </wp:positionH>
              <wp:positionV relativeFrom="paragraph">
                <wp:posOffset>467860</wp:posOffset>
              </wp:positionV>
              <wp:extent cx="5556786" cy="13440"/>
              <wp:effectExtent l="0" t="0" r="0" b="0"/>
              <wp:wrapNone/>
              <wp:docPr id="1" name="直接连接符 2"/>
              <wp:cNvGraphicFramePr>
                <a:graphicFrameLocks noChangeAspect="0"/>
              </wp:cNvGraphicFramePr>
              <a:graphic>
                <a:graphicData uri="http://schemas.microsoft.com/office/word/2010/wordprocessingShape">
                  <wps:wsp>
                    <wps:cNvSpPr/>
                    <wps:spPr>
                      <a:xfrm flipV="1" rot="21600000">
                        <a:off x="0" y="0"/>
                        <a:ext cx="5556786" cy="1344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 2" o:spid="_x0000_s2" from="1.3049785pt,36.83944pt" to="438.8472pt,37.897766pt" filled="f" stroked="t" strokeweight="1.75pt" style="position:absolute;flip:y;z-index:17;mso-position-horizontal:absolute;mso-position-vertical:absolute;mso-wrap-distance-left:8.999863pt;mso-wrap-distance-right:8.999863pt;visibility:visible;">
              <v:stroke color="#005192"/>
            </v:line>
          </w:pict>
        </mc:Fallback>
      </mc:AlternateContent>
    </w:r>
    <w:r>
      <w:rPr>
        <w:rFonts w:ascii="宋体" w:eastAsia="宋体" w:cs="宋体" w:hint="eastAsia"/>
        <w:b/>
        <w:bCs/>
        <w:color w:val="005192"/>
        <w:sz w:val="32"/>
      </w:rPr>
      <w:drawing>
        <wp:inline distT="0" distB="0" distL="114300" distR="114300">
          <wp:extent cx="308610" cy="308610"/>
          <wp:effectExtent l="0" t="0" r="5" b="5"/>
          <wp:docPr id="3" name="图片 3" descr="国徽1024"/>
          <wp:cNvGraphicFramePr>
            <a:graphicFrameLocks noChangeAspect="1"/>
          </wp:cNvGraphicFramePr>
          <a:graphic>
            <a:graphicData uri="http://schemas.openxmlformats.org/drawingml/2006/picture">
              <pic:pic>
                <pic:nvPicPr>
                  <pic:cNvPr id="5" name="图片 3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b/>
        <w:bCs/>
        <w:color w:val="005192"/>
        <w:sz w:val="32"/>
      </w:rPr>
      <w:t>重庆市江津区规划和自然资源局行政</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val="0"/>
  <w:bordersDoNotSurroundFooter w:val="0"/>
  <w:defaultTabStop w:val="420"/>
  <w:drawingGridHorizontalSpacing w:val="105"/>
  <w:drawingGridVerticalSpacing w:val="158"/>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Strong"/>
    <w:basedOn w:val="10"/>
    <w:rPr>
      <w:b/>
      <w:bCs/>
    </w:rPr>
  </w:style>
  <w:style w:type="paragraph" w:customStyle="1" w:styleId="20">
    <w:name w:val="p0"/>
    <w:basedOn w:val="0"/>
    <w:pPr>
      <w:widowControl/>
    </w:pPr>
    <w:rPr>
      <w:rFonts w:ascii="Calibri" w:eastAsia="宋体" w:cs="宋体" w:hAnsi="Calibri"/>
      <w:kern w:val="0"/>
      <w:szCs w:val="32"/>
    </w:rPr>
  </w:style>
  <w:style w:type="paragraph" w:styleId="21">
    <w:name w:val="annotation subject"/>
    <w:basedOn w:val="15"/>
    <w:next w:val="15"/>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389</TotalTime>
  <Application>Yozo_Office27021597764231180</Application>
  <Pages>2</Pages>
  <Words>0</Words>
  <Characters>366</Characters>
  <Lines>0</Lines>
  <Paragraphs>24</Paragraphs>
  <CharactersWithSpaces>488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dc:creator>
  <cp:lastModifiedBy>廖杉</cp:lastModifiedBy>
  <cp:revision>1</cp:revision>
  <cp:lastPrinted>2022-06-06T16:09:00Z</cp:lastPrinted>
  <dcterms:created xsi:type="dcterms:W3CDTF">2021-09-11T02:41:00Z</dcterms:created>
  <dcterms:modified xsi:type="dcterms:W3CDTF">2023-03-29T08:07:30Z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2052-11.1.0.10132</vt:lpwstr>
  </property>
  <property fmtid="{D5CDD505-2E9C-101B-9397-08002B2CF9AE}" pid="3" name="ICV">
    <vt:lpwstr>48C61CB29D3F4D9384F5922CF0F7FFB4</vt:lpwstr>
  </property>
</Properties>
</file>