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C207">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val="en-US" w:eastAsia="zh-CN"/>
        </w:rPr>
      </w:pPr>
    </w:p>
    <w:p w14:paraId="6DC744DA">
      <w:pPr>
        <w:keepNext w:val="0"/>
        <w:keepLines w:val="0"/>
        <w:pageBreakBefore w:val="0"/>
        <w:kinsoku/>
        <w:wordWrap/>
        <w:overflowPunct/>
        <w:topLinePunct w:val="0"/>
        <w:autoSpaceDN/>
        <w:bidi w:val="0"/>
        <w:snapToGrid/>
        <w:spacing w:line="579" w:lineRule="exact"/>
        <w:jc w:val="center"/>
        <w:textAlignment w:val="auto"/>
        <w:rPr>
          <w:rFonts w:hint="default"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重庆市江津区电子政务服务中心</w:t>
      </w:r>
    </w:p>
    <w:p w14:paraId="3D872B14">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7E6D5CB6">
      <w:pPr>
        <w:keepNext w:val="0"/>
        <w:keepLines w:val="0"/>
        <w:pageBreakBefore w:val="0"/>
        <w:kinsoku/>
        <w:wordWrap/>
        <w:overflowPunct/>
        <w:topLinePunct w:val="0"/>
        <w:autoSpaceDN/>
        <w:bidi w:val="0"/>
        <w:snapToGrid/>
        <w:spacing w:line="579" w:lineRule="exact"/>
        <w:ind w:firstLine="1090" w:firstLineChars="250"/>
        <w:jc w:val="center"/>
        <w:textAlignment w:val="auto"/>
        <w:rPr>
          <w:rFonts w:hint="eastAsia" w:ascii="宋体" w:hAnsi="宋体" w:eastAsia="方正仿宋_GBK" w:cs="方正仿宋_GBK"/>
          <w:sz w:val="44"/>
          <w:szCs w:val="44"/>
        </w:rPr>
      </w:pPr>
    </w:p>
    <w:p w14:paraId="4BA0B1C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3564FB38">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1DAD1FF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仿宋_GBK" w:cs="方正仿宋_GBK"/>
          <w:sz w:val="32"/>
        </w:rPr>
        <w:t>重庆市江津区电子政务服务中心的职能职责：1.负责全区政府系统相关电子政务发展的规划、协调和指导。2.负责全区电子政务外网网络的建设和日常管理工作；负责区政府门户网站的建设和日常管理工作。3.负责区政府电子政务中心机房的建设和日常管理工作；负责全区政府系统政务机房的集约化建设和日常管理工作。4.负责全区政务信息资源的统筹规划、协调、管理工作。负责全区政务共享应用平台的建设和日常管理工作。5.负责对各镇（街）、政府各部门电子政务项目建设的审批工作，并进行业务指导。6.负责区政府信息公开平台的建设和维护工作。7.负责区政府办公室电子政务的建设和日常管理工作。8.承办行政主管部门交办的其他任务。</w:t>
      </w:r>
    </w:p>
    <w:p w14:paraId="0658220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3DAFD89F">
      <w:pPr>
        <w:keepNext w:val="0"/>
        <w:keepLines w:val="0"/>
        <w:pageBreakBefore w:val="0"/>
        <w:numPr>
          <w:ilvl w:val="0"/>
          <w:numId w:val="0"/>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sz w:val="32"/>
        </w:rPr>
        <w:t>重庆市江津区电子政务服务中心为重庆市江津区政务服务管理办公室所属正科级全额拨款事业单位，无内设机构。</w:t>
      </w:r>
    </w:p>
    <w:p w14:paraId="2E81B87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32"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val="en-US" w:eastAsia="zh-CN"/>
        </w:rPr>
        <w:t>部门</w:t>
      </w:r>
      <w:r>
        <w:rPr>
          <w:rFonts w:hint="eastAsia" w:ascii="宋体" w:hAnsi="宋体" w:eastAsia="方正黑体_GBK" w:cs="方正黑体_GBK"/>
          <w:sz w:val="32"/>
          <w:szCs w:val="32"/>
        </w:rPr>
        <w:t>决算情况</w:t>
      </w:r>
    </w:p>
    <w:p w14:paraId="20E041D9">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3114AAE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w:t>
      </w:r>
      <w:r>
        <w:rPr>
          <w:rFonts w:hint="eastAsia" w:ascii="宋体" w:hAnsi="宋体" w:cs="方正仿宋_GBK"/>
          <w:b w:val="0"/>
          <w:bCs w:val="0"/>
          <w:sz w:val="32"/>
          <w:szCs w:val="32"/>
          <w:lang w:val="en-US" w:eastAsia="zh-CN"/>
        </w:rPr>
        <w:t>308.97</w:t>
      </w:r>
      <w:r>
        <w:rPr>
          <w:rFonts w:hint="eastAsia" w:ascii="宋体" w:hAnsi="宋体" w:eastAsia="方正仿宋_GBK" w:cs="方正仿宋_GBK"/>
          <w:b w:val="0"/>
          <w:bCs w:val="0"/>
          <w:sz w:val="32"/>
          <w:szCs w:val="32"/>
          <w:lang w:val="en-US" w:eastAsia="zh-CN"/>
        </w:rPr>
        <w:t>万元，支出总计</w:t>
      </w:r>
      <w:r>
        <w:rPr>
          <w:rFonts w:hint="eastAsia" w:ascii="宋体" w:hAnsi="宋体" w:cs="方正仿宋_GBK"/>
          <w:b w:val="0"/>
          <w:bCs w:val="0"/>
          <w:sz w:val="32"/>
          <w:szCs w:val="32"/>
          <w:lang w:val="en-US" w:eastAsia="zh-CN"/>
        </w:rPr>
        <w:t>308.97</w:t>
      </w:r>
      <w:r>
        <w:rPr>
          <w:rFonts w:hint="eastAsia" w:ascii="宋体" w:hAnsi="宋体" w:eastAsia="方正仿宋_GBK" w:cs="方正仿宋_GBK"/>
          <w:b w:val="0"/>
          <w:bCs w:val="0"/>
          <w:sz w:val="32"/>
          <w:szCs w:val="32"/>
          <w:lang w:val="en-US" w:eastAsia="zh-CN"/>
        </w:rPr>
        <w:t>万元。收支较上年</w:t>
      </w:r>
      <w:r>
        <w:rPr>
          <w:rFonts w:hint="eastAsia" w:ascii="宋体" w:hAnsi="宋体" w:cs="方正仿宋_GBK"/>
          <w:b w:val="0"/>
          <w:bCs w:val="0"/>
          <w:sz w:val="32"/>
          <w:szCs w:val="32"/>
          <w:lang w:val="en-US" w:eastAsia="zh-CN"/>
        </w:rPr>
        <w:t>增加17.75</w:t>
      </w:r>
      <w:r>
        <w:rPr>
          <w:rFonts w:hint="eastAsia" w:ascii="宋体" w:hAnsi="宋体" w:eastAsia="方正仿宋_GBK" w:cs="方正仿宋_GBK"/>
          <w:b w:val="0"/>
          <w:bCs w:val="0"/>
          <w:sz w:val="32"/>
          <w:szCs w:val="32"/>
          <w:lang w:val="en-US" w:eastAsia="zh-CN"/>
        </w:rPr>
        <w:t>万元，</w:t>
      </w:r>
      <w:r>
        <w:rPr>
          <w:rFonts w:hint="eastAsia" w:ascii="宋体" w:hAnsi="宋体" w:cs="方正仿宋_GBK"/>
          <w:b w:val="0"/>
          <w:bCs w:val="0"/>
          <w:sz w:val="32"/>
          <w:szCs w:val="32"/>
          <w:lang w:val="en-US" w:eastAsia="zh-CN"/>
        </w:rPr>
        <w:t>增长6.10</w:t>
      </w:r>
      <w:r>
        <w:rPr>
          <w:rFonts w:hint="eastAsia" w:ascii="宋体" w:hAnsi="宋体" w:eastAsia="方正仿宋_GBK" w:cs="方正仿宋_GBK"/>
          <w:b w:val="0"/>
          <w:bCs w:val="0"/>
          <w:sz w:val="32"/>
          <w:szCs w:val="32"/>
          <w:lang w:val="en-US" w:eastAsia="zh-CN"/>
        </w:rPr>
        <w:t>%，主要原因为人员</w:t>
      </w:r>
      <w:r>
        <w:rPr>
          <w:rFonts w:hint="eastAsia" w:ascii="宋体" w:hAnsi="宋体" w:cs="方正仿宋_GBK"/>
          <w:b w:val="0"/>
          <w:bCs w:val="0"/>
          <w:sz w:val="32"/>
          <w:szCs w:val="32"/>
          <w:lang w:val="en-US" w:eastAsia="zh-CN"/>
        </w:rPr>
        <w:t>工资</w:t>
      </w:r>
      <w:r>
        <w:rPr>
          <w:rFonts w:hint="eastAsia" w:ascii="宋体" w:hAnsi="宋体" w:eastAsia="方正仿宋_GBK" w:cs="方正仿宋_GBK"/>
          <w:b w:val="0"/>
          <w:bCs w:val="0"/>
          <w:sz w:val="32"/>
          <w:szCs w:val="32"/>
          <w:lang w:val="en-US" w:eastAsia="zh-CN"/>
        </w:rPr>
        <w:t>调标</w:t>
      </w:r>
      <w:r>
        <w:rPr>
          <w:rFonts w:hint="eastAsia" w:ascii="宋体" w:hAnsi="宋体" w:cs="方正仿宋_GBK"/>
          <w:b w:val="0"/>
          <w:bCs w:val="0"/>
          <w:sz w:val="32"/>
          <w:szCs w:val="32"/>
          <w:lang w:val="en-US" w:eastAsia="zh-CN"/>
        </w:rPr>
        <w:t>和养老保险基数增加，相应</w:t>
      </w:r>
      <w:r>
        <w:rPr>
          <w:rFonts w:hint="eastAsia" w:ascii="宋体" w:hAnsi="宋体" w:eastAsia="方正仿宋_GBK" w:cs="方正仿宋_GBK"/>
          <w:b w:val="0"/>
          <w:bCs w:val="0"/>
          <w:sz w:val="32"/>
          <w:szCs w:val="32"/>
          <w:lang w:val="en-US" w:eastAsia="zh-CN"/>
        </w:rPr>
        <w:t>增加人员经费，新增江津区协同办公系统和即时通讯的信息安全三级等级检测项目。</w:t>
      </w:r>
    </w:p>
    <w:p w14:paraId="042183E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w:t>
      </w:r>
      <w:r>
        <w:rPr>
          <w:rFonts w:hint="eastAsia" w:ascii="宋体" w:hAnsi="宋体" w:cs="方正仿宋_GBK"/>
          <w:b w:val="0"/>
          <w:bCs w:val="0"/>
          <w:sz w:val="32"/>
          <w:szCs w:val="32"/>
          <w:lang w:val="en-US" w:eastAsia="zh-CN"/>
        </w:rPr>
        <w:t>308.97</w:t>
      </w:r>
      <w:r>
        <w:rPr>
          <w:rFonts w:hint="eastAsia" w:ascii="宋体" w:hAnsi="宋体" w:eastAsia="方正仿宋_GBK" w:cs="方正仿宋_GBK"/>
          <w:b w:val="0"/>
          <w:bCs w:val="0"/>
          <w:sz w:val="32"/>
          <w:szCs w:val="32"/>
          <w:lang w:val="en-US" w:eastAsia="zh-CN"/>
        </w:rPr>
        <w:t>万元，较上年增加17.75万元，增长6.10%，主要原因为人员</w:t>
      </w:r>
      <w:r>
        <w:rPr>
          <w:rFonts w:hint="eastAsia" w:ascii="宋体" w:hAnsi="宋体" w:cs="方正仿宋_GBK"/>
          <w:b w:val="0"/>
          <w:bCs w:val="0"/>
          <w:sz w:val="32"/>
          <w:szCs w:val="32"/>
          <w:lang w:val="en-US" w:eastAsia="zh-CN"/>
        </w:rPr>
        <w:t>工资</w:t>
      </w:r>
      <w:r>
        <w:rPr>
          <w:rFonts w:hint="eastAsia" w:ascii="宋体" w:hAnsi="宋体" w:eastAsia="方正仿宋_GBK" w:cs="方正仿宋_GBK"/>
          <w:b w:val="0"/>
          <w:bCs w:val="0"/>
          <w:sz w:val="32"/>
          <w:szCs w:val="32"/>
          <w:lang w:val="en-US" w:eastAsia="zh-CN"/>
        </w:rPr>
        <w:t>调标和养老保险基数增加，相应增加人员经费，新增江津区协同办公系统和即时通讯的信息安全三级等级检测项目。其中：财政拨款收入</w:t>
      </w:r>
      <w:r>
        <w:rPr>
          <w:rFonts w:hint="eastAsia" w:ascii="宋体" w:hAnsi="宋体" w:cs="方正仿宋_GBK"/>
          <w:b w:val="0"/>
          <w:bCs w:val="0"/>
          <w:sz w:val="32"/>
          <w:szCs w:val="32"/>
          <w:lang w:val="en-US" w:eastAsia="zh-CN"/>
        </w:rPr>
        <w:t>308.97</w:t>
      </w:r>
      <w:r>
        <w:rPr>
          <w:rFonts w:hint="eastAsia" w:ascii="宋体" w:hAnsi="宋体" w:eastAsia="方正仿宋_GBK" w:cs="方正仿宋_GBK"/>
          <w:b w:val="0"/>
          <w:bCs w:val="0"/>
          <w:sz w:val="32"/>
          <w:szCs w:val="32"/>
          <w:lang w:val="en-US" w:eastAsia="zh-CN"/>
        </w:rPr>
        <w:t>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14:paraId="2D8E501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w:t>
      </w:r>
      <w:r>
        <w:rPr>
          <w:rFonts w:hint="eastAsia" w:ascii="宋体" w:hAnsi="宋体" w:cs="方正仿宋_GBK"/>
          <w:b w:val="0"/>
          <w:bCs w:val="0"/>
          <w:sz w:val="32"/>
          <w:szCs w:val="32"/>
          <w:lang w:val="en-US" w:eastAsia="zh-CN"/>
        </w:rPr>
        <w:t>308.97</w:t>
      </w:r>
      <w:r>
        <w:rPr>
          <w:rFonts w:hint="eastAsia" w:ascii="宋体" w:hAnsi="宋体" w:eastAsia="方正仿宋_GBK" w:cs="方正仿宋_GBK"/>
          <w:b w:val="0"/>
          <w:bCs w:val="0"/>
          <w:sz w:val="32"/>
          <w:szCs w:val="32"/>
          <w:lang w:val="en-US" w:eastAsia="zh-CN"/>
        </w:rPr>
        <w:t>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sz w:val="32"/>
        </w:rPr>
        <w:t>增加17.75万元，</w:t>
      </w:r>
      <w:r>
        <w:rPr>
          <w:rFonts w:hint="eastAsia" w:ascii="宋体" w:hAnsi="宋体" w:eastAsia="方正仿宋_GBK" w:cs="方正仿宋_GBK"/>
          <w:b w:val="0"/>
          <w:bCs w:val="0"/>
          <w:sz w:val="32"/>
          <w:szCs w:val="32"/>
          <w:lang w:val="en-US" w:eastAsia="zh-CN"/>
        </w:rPr>
        <w:t>增长6.10%，</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原因为人员</w:t>
      </w:r>
      <w:r>
        <w:rPr>
          <w:rFonts w:hint="eastAsia" w:ascii="宋体" w:hAnsi="宋体" w:cs="方正仿宋_GBK"/>
          <w:sz w:val="32"/>
          <w:lang w:val="en-US" w:eastAsia="zh-CN"/>
        </w:rPr>
        <w:t>工资</w:t>
      </w:r>
      <w:r>
        <w:rPr>
          <w:rFonts w:hint="eastAsia" w:ascii="宋体" w:hAnsi="宋体" w:eastAsia="方正仿宋_GBK" w:cs="方正仿宋_GBK"/>
          <w:sz w:val="32"/>
          <w:lang w:val="en-US" w:eastAsia="zh-CN"/>
        </w:rPr>
        <w:t>调标和养老保险基数增加，相应增加人员经费，新增江津区协同办公系统和即时通讯的信息安全三级等级检测项目。</w:t>
      </w:r>
      <w:r>
        <w:rPr>
          <w:rFonts w:hint="eastAsia" w:ascii="宋体" w:hAnsi="宋体" w:eastAsia="方正仿宋_GBK" w:cs="方正仿宋_GBK"/>
          <w:b w:val="0"/>
          <w:bCs w:val="0"/>
          <w:sz w:val="32"/>
          <w:szCs w:val="32"/>
          <w:lang w:val="en-US" w:eastAsia="zh-CN"/>
        </w:rPr>
        <w:t>其中：基本支出</w:t>
      </w:r>
      <w:r>
        <w:rPr>
          <w:rFonts w:hint="eastAsia" w:ascii="宋体" w:hAnsi="宋体" w:cs="方正仿宋_GBK"/>
          <w:b w:val="0"/>
          <w:bCs w:val="0"/>
          <w:sz w:val="32"/>
          <w:szCs w:val="32"/>
          <w:lang w:val="en-US" w:eastAsia="zh-CN"/>
        </w:rPr>
        <w:t>242.27</w:t>
      </w:r>
      <w:r>
        <w:rPr>
          <w:rFonts w:hint="eastAsia" w:ascii="宋体" w:hAnsi="宋体" w:eastAsia="方正仿宋_GBK" w:cs="方正仿宋_GBK"/>
          <w:b w:val="0"/>
          <w:bCs w:val="0"/>
          <w:sz w:val="32"/>
          <w:szCs w:val="32"/>
          <w:lang w:val="en-US" w:eastAsia="zh-CN"/>
        </w:rPr>
        <w:t>万元，占比</w:t>
      </w:r>
      <w:r>
        <w:rPr>
          <w:rFonts w:hint="eastAsia" w:ascii="宋体" w:hAnsi="宋体" w:cs="方正仿宋_GBK"/>
          <w:b w:val="0"/>
          <w:bCs w:val="0"/>
          <w:sz w:val="32"/>
          <w:szCs w:val="32"/>
          <w:lang w:val="en-US" w:eastAsia="zh-CN"/>
        </w:rPr>
        <w:t>78.41</w:t>
      </w:r>
      <w:r>
        <w:rPr>
          <w:rFonts w:hint="eastAsia" w:ascii="宋体" w:hAnsi="宋体" w:eastAsia="方正仿宋_GBK" w:cs="方正仿宋_GBK"/>
          <w:b w:val="0"/>
          <w:bCs w:val="0"/>
          <w:sz w:val="32"/>
          <w:szCs w:val="32"/>
          <w:lang w:val="en-US" w:eastAsia="zh-CN"/>
        </w:rPr>
        <w:t>%；项目支出</w:t>
      </w:r>
      <w:r>
        <w:rPr>
          <w:rFonts w:hint="eastAsia" w:ascii="宋体" w:hAnsi="宋体" w:cs="方正仿宋_GBK"/>
          <w:b w:val="0"/>
          <w:bCs w:val="0"/>
          <w:sz w:val="32"/>
          <w:szCs w:val="32"/>
          <w:lang w:val="en-US" w:eastAsia="zh-CN"/>
        </w:rPr>
        <w:t>66.70</w:t>
      </w:r>
      <w:r>
        <w:rPr>
          <w:rFonts w:hint="eastAsia" w:ascii="宋体" w:hAnsi="宋体" w:eastAsia="方正仿宋_GBK" w:cs="方正仿宋_GBK"/>
          <w:b w:val="0"/>
          <w:bCs w:val="0"/>
          <w:sz w:val="32"/>
          <w:szCs w:val="32"/>
          <w:lang w:val="en-US" w:eastAsia="zh-CN"/>
        </w:rPr>
        <w:t>万元，占比</w:t>
      </w:r>
      <w:r>
        <w:rPr>
          <w:rFonts w:hint="eastAsia" w:ascii="宋体" w:hAnsi="宋体" w:cs="方正仿宋_GBK"/>
          <w:b w:val="0"/>
          <w:bCs w:val="0"/>
          <w:sz w:val="32"/>
          <w:szCs w:val="32"/>
          <w:lang w:val="en-US" w:eastAsia="zh-CN"/>
        </w:rPr>
        <w:t>21.59</w:t>
      </w:r>
      <w:r>
        <w:rPr>
          <w:rFonts w:hint="eastAsia" w:ascii="宋体" w:hAnsi="宋体" w:eastAsia="方正仿宋_GBK" w:cs="方正仿宋_GBK"/>
          <w:b w:val="0"/>
          <w:bCs w:val="0"/>
          <w:sz w:val="32"/>
          <w:szCs w:val="32"/>
          <w:lang w:val="en-US" w:eastAsia="zh-CN"/>
        </w:rPr>
        <w:t>%。</w:t>
      </w:r>
    </w:p>
    <w:p w14:paraId="2334CCD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2024年度年末结转和结余0万元，与2023年度持平，主要原因是均无年末结转和结余</w:t>
      </w:r>
      <w:r>
        <w:rPr>
          <w:rFonts w:hint="eastAsia" w:ascii="宋体" w:hAnsi="宋体" w:eastAsia="方正仿宋_GBK" w:cs="方正仿宋_GBK"/>
          <w:kern w:val="0"/>
          <w:sz w:val="32"/>
          <w:szCs w:val="32"/>
          <w:lang w:val="en-US" w:eastAsia="zh-CN"/>
        </w:rPr>
        <w:t>。</w:t>
      </w:r>
    </w:p>
    <w:p w14:paraId="06B4477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5396BEEA">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w:t>
      </w:r>
      <w:r>
        <w:rPr>
          <w:rFonts w:hint="eastAsia" w:ascii="宋体" w:hAnsi="宋体" w:cs="方正仿宋_GBK"/>
          <w:sz w:val="32"/>
          <w:lang w:val="en-US" w:eastAsia="zh-CN"/>
        </w:rPr>
        <w:t>308.97</w:t>
      </w:r>
      <w:r>
        <w:rPr>
          <w:rFonts w:hint="eastAsia" w:ascii="宋体" w:hAnsi="宋体" w:eastAsia="方正仿宋_GBK" w:cs="方正仿宋_GBK"/>
          <w:sz w:val="32"/>
          <w:lang w:val="en-US" w:eastAsia="zh-CN"/>
        </w:rPr>
        <w:t>万元，支出总计</w:t>
      </w:r>
      <w:r>
        <w:rPr>
          <w:rFonts w:hint="eastAsia" w:ascii="宋体" w:hAnsi="宋体" w:cs="方正仿宋_GBK"/>
          <w:sz w:val="32"/>
          <w:lang w:val="en-US" w:eastAsia="zh-CN"/>
        </w:rPr>
        <w:t>308.97</w:t>
      </w:r>
      <w:r>
        <w:rPr>
          <w:rFonts w:hint="eastAsia" w:ascii="宋体" w:hAnsi="宋体" w:eastAsia="方正仿宋_GBK" w:cs="方正仿宋_GBK"/>
          <w:sz w:val="32"/>
          <w:lang w:val="en-US" w:eastAsia="zh-CN"/>
        </w:rPr>
        <w:t>万元。</w:t>
      </w:r>
      <w:r>
        <w:rPr>
          <w:rFonts w:hint="eastAsia" w:ascii="宋体" w:hAnsi="宋体" w:eastAsia="方正仿宋_GBK" w:cs="方正仿宋_GBK"/>
          <w:sz w:val="32"/>
        </w:rPr>
        <w:t>收支较上年增加17.75万元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增长6.10%，</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为人员</w:t>
      </w:r>
      <w:r>
        <w:rPr>
          <w:rFonts w:hint="eastAsia" w:ascii="宋体" w:hAnsi="宋体" w:cs="方正仿宋_GBK"/>
          <w:sz w:val="32"/>
          <w:lang w:val="en-US" w:eastAsia="zh-CN"/>
        </w:rPr>
        <w:t>工资</w:t>
      </w:r>
      <w:r>
        <w:rPr>
          <w:rFonts w:hint="eastAsia" w:ascii="宋体" w:hAnsi="宋体" w:eastAsia="方正仿宋_GBK" w:cs="方正仿宋_GBK"/>
          <w:sz w:val="32"/>
          <w:lang w:val="en-US" w:eastAsia="zh-CN"/>
        </w:rPr>
        <w:t>调标和养老保险基数增加，相应增加人员经费，新增江津区协同办公系统和即时通讯的信息安全三级等级检测项目。</w:t>
      </w:r>
    </w:p>
    <w:p w14:paraId="21E001D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3CFA0015">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cs="方正仿宋_GBK"/>
          <w:color w:val="auto"/>
          <w:sz w:val="32"/>
          <w:lang w:val="en-US" w:eastAsia="zh-CN"/>
        </w:rPr>
        <w:t>308.97</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决算数增加17.75</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增长6.10</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color w:val="auto"/>
          <w:sz w:val="32"/>
          <w:lang w:val="en-US" w:eastAsia="zh-CN"/>
        </w:rPr>
        <w:t>人员</w:t>
      </w:r>
      <w:r>
        <w:rPr>
          <w:rFonts w:hint="eastAsia" w:ascii="宋体" w:hAnsi="宋体" w:cs="方正仿宋_GBK"/>
          <w:b w:val="0"/>
          <w:bCs w:val="0"/>
          <w:color w:val="auto"/>
          <w:sz w:val="32"/>
          <w:lang w:val="en-US" w:eastAsia="zh-CN"/>
        </w:rPr>
        <w:t>工资</w:t>
      </w:r>
      <w:r>
        <w:rPr>
          <w:rFonts w:hint="eastAsia" w:ascii="宋体" w:hAnsi="宋体" w:eastAsia="方正仿宋_GBK" w:cs="方正仿宋_GBK"/>
          <w:b w:val="0"/>
          <w:bCs w:val="0"/>
          <w:color w:val="auto"/>
          <w:sz w:val="32"/>
          <w:lang w:val="en-US" w:eastAsia="zh-CN"/>
        </w:rPr>
        <w:t>调标和养老保险基数增加，相应增加人员经费，新增江津区协同办公系统和即时通讯的信息安全三级等级检测项目</w:t>
      </w:r>
      <w:r>
        <w:rPr>
          <w:rFonts w:hint="eastAsia" w:ascii="宋体" w:hAnsi="宋体" w:eastAsia="方正仿宋_GBK" w:cs="方正仿宋_GBK"/>
          <w:color w:val="auto"/>
          <w:sz w:val="32"/>
          <w:lang w:val="en-US" w:eastAsia="zh-CN"/>
        </w:rPr>
        <w:t>。较年初预算数</w:t>
      </w:r>
      <w:r>
        <w:rPr>
          <w:rFonts w:hint="eastAsia" w:ascii="宋体" w:hAnsi="宋体" w:cs="方正仿宋_GBK"/>
          <w:color w:val="auto"/>
          <w:sz w:val="32"/>
          <w:lang w:val="en-US" w:eastAsia="zh-CN"/>
        </w:rPr>
        <w:t>增加21.44</w:t>
      </w:r>
      <w:r>
        <w:rPr>
          <w:rFonts w:hint="eastAsia" w:ascii="宋体" w:hAnsi="宋体" w:eastAsia="方正仿宋_GBK" w:cs="方正仿宋_GBK"/>
          <w:color w:val="auto"/>
          <w:sz w:val="32"/>
          <w:lang w:val="en-US" w:eastAsia="zh-CN"/>
        </w:rPr>
        <w:t>万元，</w:t>
      </w:r>
      <w:r>
        <w:rPr>
          <w:rFonts w:hint="eastAsia" w:ascii="宋体" w:hAnsi="宋体" w:cs="方正仿宋_GBK"/>
          <w:color w:val="auto"/>
          <w:sz w:val="32"/>
          <w:lang w:val="en-US" w:eastAsia="zh-CN"/>
        </w:rPr>
        <w:t>增长7.46</w:t>
      </w:r>
      <w:r>
        <w:rPr>
          <w:rFonts w:hint="eastAsia" w:ascii="宋体" w:hAnsi="宋体" w:eastAsia="方正仿宋_GBK" w:cs="方正仿宋_GBK"/>
          <w:color w:val="auto"/>
          <w:sz w:val="32"/>
          <w:lang w:val="en-US" w:eastAsia="zh-CN"/>
        </w:rPr>
        <w:t>%，主要原因是</w:t>
      </w:r>
      <w:r>
        <w:rPr>
          <w:rFonts w:hint="eastAsia" w:ascii="宋体" w:hAnsi="宋体" w:cs="方正仿宋_GBK"/>
          <w:color w:val="auto"/>
          <w:sz w:val="32"/>
          <w:lang w:val="en-US" w:eastAsia="zh-CN"/>
        </w:rPr>
        <w:t>养老保险缴费基数增加，相应增加人员经费，年中追加江津区协同办公系统和即时通讯的信息安全三级等级检测项目</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6835BE16">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w:t>
      </w:r>
      <w:r>
        <w:rPr>
          <w:rFonts w:hint="eastAsia" w:ascii="宋体" w:hAnsi="宋体" w:cs="方正仿宋_GBK"/>
          <w:color w:val="auto"/>
          <w:sz w:val="32"/>
          <w:lang w:val="en-US" w:eastAsia="zh-CN"/>
        </w:rPr>
        <w:t>308.97</w:t>
      </w:r>
      <w:r>
        <w:rPr>
          <w:rFonts w:hint="eastAsia" w:ascii="宋体" w:hAnsi="宋体" w:eastAsia="方正仿宋_GBK" w:cs="方正仿宋_GBK"/>
          <w:color w:val="auto"/>
          <w:sz w:val="32"/>
          <w:lang w:val="en-US" w:eastAsia="zh-CN"/>
        </w:rPr>
        <w:t>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增加17.75</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增长6.10</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color w:val="auto"/>
          <w:sz w:val="32"/>
          <w:lang w:val="en-US" w:eastAsia="zh-CN"/>
        </w:rPr>
        <w:t>人员</w:t>
      </w:r>
      <w:r>
        <w:rPr>
          <w:rFonts w:hint="eastAsia" w:ascii="宋体" w:hAnsi="宋体" w:cs="方正仿宋_GBK"/>
          <w:color w:val="auto"/>
          <w:sz w:val="32"/>
          <w:lang w:val="en-US" w:eastAsia="zh-CN"/>
        </w:rPr>
        <w:t>工资</w:t>
      </w:r>
      <w:r>
        <w:rPr>
          <w:rFonts w:hint="eastAsia" w:ascii="宋体" w:hAnsi="宋体" w:eastAsia="方正仿宋_GBK" w:cs="方正仿宋_GBK"/>
          <w:color w:val="auto"/>
          <w:sz w:val="32"/>
          <w:lang w:val="en-US" w:eastAsia="zh-CN"/>
        </w:rPr>
        <w:t>调标和养老保险基数增加，相应增加人员经费，新增江津区协同办公系统和即时通讯的信息安全三级等级检测项目。较年初预算数增加21.44万元，增长7.46%，主要原因是养老保险缴费基数增加，相应增加人员经费，年中追加江津区协同办公系统和即时通讯的信息安全三级等级检测项目。此外，年初财政拨款结转和结余0万元。</w:t>
      </w:r>
    </w:p>
    <w:p w14:paraId="6B9AB498">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无年末结转结余资金。</w:t>
      </w:r>
    </w:p>
    <w:p w14:paraId="32A35FC6">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w:t>
      </w:r>
      <w:r>
        <w:rPr>
          <w:rFonts w:hint="eastAsia" w:ascii="宋体" w:hAnsi="宋体" w:cs="方正仿宋_GBK"/>
          <w:color w:val="auto"/>
          <w:sz w:val="32"/>
          <w:lang w:val="en-US" w:eastAsia="zh-CN"/>
        </w:rPr>
        <w:t>单位</w:t>
      </w:r>
      <w:r>
        <w:rPr>
          <w:rFonts w:hint="eastAsia" w:ascii="宋体" w:hAnsi="宋体" w:eastAsia="方正仿宋_GBK" w:cs="方正仿宋_GBK"/>
          <w:color w:val="auto"/>
          <w:sz w:val="32"/>
          <w:lang w:val="en-US" w:eastAsia="zh-CN"/>
        </w:rPr>
        <w:t>2024年度一般公共预算财政拨款支出主要用于以下几个方面：</w:t>
      </w:r>
    </w:p>
    <w:p w14:paraId="413FCA8A">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一般公共服务支出</w:t>
      </w:r>
      <w:r>
        <w:rPr>
          <w:rFonts w:hint="eastAsia" w:ascii="宋体" w:hAnsi="宋体" w:cs="方正仿宋_GBK"/>
          <w:color w:val="auto"/>
          <w:sz w:val="32"/>
          <w:lang w:val="en-US" w:eastAsia="zh-CN"/>
        </w:rPr>
        <w:t>257.56</w:t>
      </w:r>
      <w:r>
        <w:rPr>
          <w:rFonts w:hint="eastAsia" w:ascii="宋体" w:hAnsi="宋体" w:eastAsia="方正仿宋_GBK" w:cs="方正仿宋_GBK"/>
          <w:color w:val="auto"/>
          <w:sz w:val="32"/>
          <w:lang w:val="en-US" w:eastAsia="zh-CN"/>
        </w:rPr>
        <w:t>万元，占比</w:t>
      </w:r>
      <w:r>
        <w:rPr>
          <w:rFonts w:hint="eastAsia" w:ascii="宋体" w:hAnsi="宋体" w:cs="方正仿宋_GBK"/>
          <w:color w:val="auto"/>
          <w:sz w:val="32"/>
          <w:lang w:val="en-US" w:eastAsia="zh-CN"/>
        </w:rPr>
        <w:t>83.36</w:t>
      </w:r>
      <w:r>
        <w:rPr>
          <w:rFonts w:hint="eastAsia" w:ascii="宋体" w:hAnsi="宋体" w:eastAsia="方正仿宋_GBK" w:cs="方正仿宋_GBK"/>
          <w:color w:val="auto"/>
          <w:sz w:val="32"/>
          <w:lang w:val="en-US" w:eastAsia="zh-CN"/>
        </w:rPr>
        <w:t>%。较年初预算数</w:t>
      </w:r>
      <w:r>
        <w:rPr>
          <w:rFonts w:hint="eastAsia" w:ascii="宋体" w:hAnsi="宋体" w:cs="方正仿宋_GBK"/>
          <w:color w:val="auto"/>
          <w:sz w:val="32"/>
          <w:lang w:val="en-US" w:eastAsia="zh-CN"/>
        </w:rPr>
        <w:t>增加12.79</w:t>
      </w:r>
      <w:r>
        <w:rPr>
          <w:rFonts w:hint="eastAsia" w:ascii="宋体" w:hAnsi="宋体" w:eastAsia="方正仿宋_GBK" w:cs="方正仿宋_GBK"/>
          <w:color w:val="auto"/>
          <w:sz w:val="32"/>
          <w:lang w:val="en-US" w:eastAsia="zh-CN"/>
        </w:rPr>
        <w:t>万元，</w:t>
      </w:r>
      <w:r>
        <w:rPr>
          <w:rFonts w:hint="eastAsia" w:ascii="宋体" w:hAnsi="宋体" w:cs="方正仿宋_GBK"/>
          <w:color w:val="auto"/>
          <w:sz w:val="32"/>
          <w:lang w:val="en-US" w:eastAsia="zh-CN"/>
        </w:rPr>
        <w:t>增长5.23</w:t>
      </w:r>
      <w:r>
        <w:rPr>
          <w:rFonts w:hint="eastAsia" w:ascii="宋体" w:hAnsi="宋体" w:eastAsia="方正仿宋_GBK" w:cs="方正仿宋_GBK"/>
          <w:color w:val="auto"/>
          <w:sz w:val="32"/>
          <w:lang w:val="en-US" w:eastAsia="zh-CN"/>
        </w:rPr>
        <w:t>%，主要原因是年中追加江津区协同办公系统和即时通讯的信息安全三级等级检测项目。</w:t>
      </w:r>
    </w:p>
    <w:p w14:paraId="6963EC4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（2）教育支出0.</w:t>
      </w:r>
      <w:r>
        <w:rPr>
          <w:rFonts w:hint="eastAsia" w:ascii="宋体" w:hAnsi="宋体" w:cs="方正仿宋_GBK"/>
          <w:color w:val="auto"/>
          <w:sz w:val="32"/>
          <w:lang w:val="en-US" w:eastAsia="zh-CN"/>
        </w:rPr>
        <w:t>15</w:t>
      </w:r>
      <w:r>
        <w:rPr>
          <w:rFonts w:hint="eastAsia" w:ascii="宋体" w:hAnsi="宋体" w:eastAsia="方正仿宋_GBK" w:cs="方正仿宋_GBK"/>
          <w:color w:val="auto"/>
          <w:sz w:val="32"/>
          <w:lang w:val="en-US" w:eastAsia="zh-CN"/>
        </w:rPr>
        <w:t>万元，占比0.0</w:t>
      </w:r>
      <w:r>
        <w:rPr>
          <w:rFonts w:hint="eastAsia" w:ascii="宋体" w:hAnsi="宋体" w:cs="方正仿宋_GBK"/>
          <w:color w:val="auto"/>
          <w:sz w:val="32"/>
          <w:lang w:val="en-US" w:eastAsia="zh-CN"/>
        </w:rPr>
        <w:t>5</w:t>
      </w:r>
      <w:r>
        <w:rPr>
          <w:rFonts w:hint="eastAsia" w:ascii="宋体" w:hAnsi="宋体" w:eastAsia="方正仿宋_GBK" w:cs="方正仿宋_GBK"/>
          <w:color w:val="auto"/>
          <w:sz w:val="32"/>
          <w:lang w:val="en-US" w:eastAsia="zh-CN"/>
        </w:rPr>
        <w:t>%。较年初预算数减少</w:t>
      </w:r>
      <w:r>
        <w:rPr>
          <w:rFonts w:hint="eastAsia" w:ascii="宋体" w:hAnsi="宋体" w:cs="方正仿宋_GBK"/>
          <w:color w:val="auto"/>
          <w:sz w:val="32"/>
          <w:lang w:val="en-US" w:eastAsia="zh-CN"/>
        </w:rPr>
        <w:t>1.08</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87.80</w:t>
      </w:r>
      <w:r>
        <w:rPr>
          <w:rFonts w:hint="eastAsia" w:ascii="宋体" w:hAnsi="宋体" w:eastAsia="方正仿宋_GBK" w:cs="方正仿宋_GBK"/>
          <w:color w:val="auto"/>
          <w:sz w:val="32"/>
          <w:lang w:val="en-US" w:eastAsia="zh-CN"/>
        </w:rPr>
        <w:t>%，主要原因是2024年培训大幅减少。</w:t>
      </w:r>
    </w:p>
    <w:p w14:paraId="348912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（3）社会保障和就业支出</w:t>
      </w:r>
      <w:r>
        <w:rPr>
          <w:rFonts w:hint="eastAsia" w:ascii="宋体" w:hAnsi="宋体" w:cs="方正仿宋_GBK"/>
          <w:color w:val="auto"/>
          <w:sz w:val="32"/>
          <w:lang w:val="en-US" w:eastAsia="zh-CN"/>
        </w:rPr>
        <w:t>29.50</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9.55</w:t>
      </w:r>
      <w:r>
        <w:rPr>
          <w:rFonts w:hint="eastAsia" w:ascii="宋体" w:hAnsi="宋体" w:eastAsia="方正仿宋_GBK" w:cs="方正仿宋_GBK"/>
          <w:color w:val="auto"/>
          <w:sz w:val="32"/>
          <w:lang w:val="en-US" w:eastAsia="zh-CN"/>
        </w:rPr>
        <w:t>%，较年初预算数</w:t>
      </w:r>
      <w:r>
        <w:rPr>
          <w:rFonts w:hint="eastAsia" w:ascii="宋体" w:hAnsi="宋体" w:cs="方正仿宋_GBK"/>
          <w:color w:val="auto"/>
          <w:sz w:val="32"/>
          <w:lang w:val="en-US" w:eastAsia="zh-CN"/>
        </w:rPr>
        <w:t>增加9.78</w:t>
      </w:r>
      <w:r>
        <w:rPr>
          <w:rFonts w:hint="eastAsia" w:ascii="宋体" w:hAnsi="宋体" w:eastAsia="方正仿宋_GBK" w:cs="方正仿宋_GBK"/>
          <w:color w:val="auto"/>
          <w:sz w:val="32"/>
          <w:lang w:val="en-US" w:eastAsia="zh-CN"/>
        </w:rPr>
        <w:t>万元，</w:t>
      </w:r>
      <w:r>
        <w:rPr>
          <w:rFonts w:hint="eastAsia" w:ascii="宋体" w:hAnsi="宋体" w:cs="方正仿宋_GBK"/>
          <w:color w:val="auto"/>
          <w:sz w:val="32"/>
          <w:lang w:val="en-US" w:eastAsia="zh-CN"/>
        </w:rPr>
        <w:t>增长49.59</w:t>
      </w:r>
      <w:r>
        <w:rPr>
          <w:rFonts w:hint="eastAsia" w:ascii="宋体" w:hAnsi="宋体" w:eastAsia="方正仿宋_GBK" w:cs="方正仿宋_GBK"/>
          <w:color w:val="auto"/>
          <w:sz w:val="32"/>
          <w:lang w:val="en-US" w:eastAsia="zh-CN"/>
        </w:rPr>
        <w:t>%，主要原因是</w:t>
      </w:r>
      <w:r>
        <w:rPr>
          <w:rFonts w:hint="eastAsia" w:ascii="宋体" w:hAnsi="宋体" w:cs="方正仿宋_GBK"/>
          <w:color w:val="auto"/>
          <w:sz w:val="32"/>
          <w:lang w:val="en-US" w:eastAsia="zh-CN"/>
        </w:rPr>
        <w:t>养老保险缴费基数增加，相应增加社保缴费</w:t>
      </w:r>
      <w:r>
        <w:rPr>
          <w:rFonts w:hint="eastAsia" w:ascii="宋体" w:hAnsi="宋体" w:eastAsia="方正仿宋_GBK" w:cs="方正仿宋_GBK"/>
          <w:color w:val="auto"/>
          <w:sz w:val="32"/>
          <w:lang w:val="en-US" w:eastAsia="zh-CN"/>
        </w:rPr>
        <w:t>。</w:t>
      </w:r>
    </w:p>
    <w:p w14:paraId="3531788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（4）卫生健康支出</w:t>
      </w:r>
      <w:r>
        <w:rPr>
          <w:rFonts w:hint="eastAsia" w:ascii="宋体" w:hAnsi="宋体" w:cs="方正仿宋_GBK"/>
          <w:color w:val="auto"/>
          <w:sz w:val="32"/>
          <w:lang w:val="en-US" w:eastAsia="zh-CN"/>
        </w:rPr>
        <w:t>11.95</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3.87</w:t>
      </w:r>
      <w:r>
        <w:rPr>
          <w:rFonts w:hint="eastAsia" w:ascii="宋体" w:hAnsi="宋体" w:eastAsia="方正仿宋_GBK" w:cs="方正仿宋_GBK"/>
          <w:color w:val="auto"/>
          <w:sz w:val="32"/>
          <w:lang w:val="en-US" w:eastAsia="zh-CN"/>
        </w:rPr>
        <w:t>%，较年初预算数减少</w:t>
      </w:r>
      <w:r>
        <w:rPr>
          <w:rFonts w:hint="eastAsia" w:ascii="宋体" w:hAnsi="宋体" w:cs="方正仿宋_GBK"/>
          <w:color w:val="auto"/>
          <w:sz w:val="32"/>
          <w:lang w:val="en-US" w:eastAsia="zh-CN"/>
        </w:rPr>
        <w:t>0.05</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0.42</w:t>
      </w:r>
      <w:r>
        <w:rPr>
          <w:rFonts w:hint="eastAsia" w:ascii="宋体" w:hAnsi="宋体" w:eastAsia="方正仿宋_GBK" w:cs="方正仿宋_GBK"/>
          <w:color w:val="auto"/>
          <w:sz w:val="32"/>
          <w:lang w:val="en-US" w:eastAsia="zh-CN"/>
        </w:rPr>
        <w:t>%，主要原因是社保基数按照2023年全年工资性收入计算，预算按照2023年10月工资数据计算，计算方式有出入，预算数较大。</w:t>
      </w:r>
    </w:p>
    <w:p w14:paraId="1733302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（5）住房保障支出</w:t>
      </w:r>
      <w:r>
        <w:rPr>
          <w:rFonts w:hint="eastAsia" w:ascii="宋体" w:hAnsi="宋体" w:cs="方正仿宋_GBK"/>
          <w:color w:val="auto"/>
          <w:sz w:val="32"/>
          <w:lang w:val="en-US" w:eastAsia="zh-CN"/>
        </w:rPr>
        <w:t>9.81</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3.17</w:t>
      </w:r>
      <w:r>
        <w:rPr>
          <w:rFonts w:hint="eastAsia" w:ascii="宋体" w:hAnsi="宋体" w:eastAsia="方正仿宋_GBK" w:cs="方正仿宋_GBK"/>
          <w:color w:val="auto"/>
          <w:sz w:val="32"/>
          <w:lang w:val="en-US" w:eastAsia="zh-CN"/>
        </w:rPr>
        <w:t>%，较年初预算数无增减，主要原因是与预算数持平。</w:t>
      </w:r>
    </w:p>
    <w:p w14:paraId="5B66E22E">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7C13CD2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hint="eastAsia" w:ascii="宋体" w:hAnsi="宋体" w:cs="方正仿宋_GBK"/>
          <w:color w:val="auto"/>
          <w:sz w:val="32"/>
          <w:lang w:val="en-US" w:eastAsia="zh-CN"/>
        </w:rPr>
        <w:t>242.27</w:t>
      </w:r>
      <w:r>
        <w:rPr>
          <w:rFonts w:hint="eastAsia" w:ascii="宋体" w:hAnsi="宋体" w:eastAsia="方正仿宋_GBK" w:cs="方正仿宋_GBK"/>
          <w:color w:val="auto"/>
          <w:sz w:val="32"/>
          <w:lang w:val="en-US" w:eastAsia="zh-CN"/>
        </w:rPr>
        <w:t>万元。其中：人员经费</w:t>
      </w:r>
      <w:r>
        <w:rPr>
          <w:rFonts w:hint="eastAsia" w:ascii="宋体" w:hAnsi="宋体" w:cs="方正仿宋_GBK"/>
          <w:color w:val="auto"/>
          <w:sz w:val="32"/>
          <w:lang w:val="en-US" w:eastAsia="zh-CN"/>
        </w:rPr>
        <w:t>211.73</w:t>
      </w:r>
      <w:r>
        <w:rPr>
          <w:rFonts w:hint="eastAsia" w:ascii="宋体" w:hAnsi="宋体" w:eastAsia="方正仿宋_GBK" w:cs="方正仿宋_GBK"/>
          <w:color w:val="auto"/>
          <w:sz w:val="32"/>
          <w:lang w:val="en-US" w:eastAsia="zh-CN"/>
        </w:rPr>
        <w:t>万元，主要用于基本工资、津贴补贴、绩效工资、机关事业单位基本养老保险缴费、职业年金缴费、社会保障缴费、住房公积金等，较上年决算数增加</w:t>
      </w:r>
      <w:r>
        <w:rPr>
          <w:rFonts w:hint="eastAsia" w:ascii="宋体" w:hAnsi="宋体" w:cs="方正仿宋_GBK"/>
          <w:color w:val="auto"/>
          <w:sz w:val="32"/>
          <w:lang w:val="en-US" w:eastAsia="zh-CN"/>
        </w:rPr>
        <w:t>10.96</w:t>
      </w:r>
      <w:r>
        <w:rPr>
          <w:rFonts w:hint="eastAsia" w:ascii="宋体" w:hAnsi="宋体" w:eastAsia="方正仿宋_GBK" w:cs="方正仿宋_GBK"/>
          <w:color w:val="auto"/>
          <w:sz w:val="32"/>
          <w:lang w:val="en-US" w:eastAsia="zh-CN"/>
        </w:rPr>
        <w:t>万元，增长</w:t>
      </w:r>
      <w:r>
        <w:rPr>
          <w:rFonts w:hint="eastAsia" w:ascii="宋体" w:hAnsi="宋体" w:cs="方正仿宋_GBK"/>
          <w:color w:val="auto"/>
          <w:sz w:val="32"/>
          <w:lang w:val="en-US" w:eastAsia="zh-CN"/>
        </w:rPr>
        <w:t>5.46</w:t>
      </w:r>
      <w:r>
        <w:rPr>
          <w:rFonts w:hint="eastAsia" w:ascii="宋体" w:hAnsi="宋体" w:eastAsia="方正仿宋_GBK" w:cs="方正仿宋_GBK"/>
          <w:color w:val="auto"/>
          <w:sz w:val="32"/>
          <w:lang w:val="en-US" w:eastAsia="zh-CN"/>
        </w:rPr>
        <w:t>%，主要原因是人员工资调标和养老保险基数增加，相应增加人员经费。公用经费</w:t>
      </w:r>
      <w:r>
        <w:rPr>
          <w:rFonts w:hint="eastAsia" w:ascii="宋体" w:hAnsi="宋体" w:cs="方正仿宋_GBK"/>
          <w:color w:val="auto"/>
          <w:sz w:val="32"/>
          <w:lang w:val="en-US" w:eastAsia="zh-CN"/>
        </w:rPr>
        <w:t>30.54</w:t>
      </w:r>
      <w:r>
        <w:rPr>
          <w:rFonts w:hint="eastAsia" w:ascii="宋体" w:hAnsi="宋体" w:eastAsia="方正仿宋_GBK" w:cs="方正仿宋_GBK"/>
          <w:color w:val="auto"/>
          <w:sz w:val="32"/>
          <w:lang w:val="en-US" w:eastAsia="zh-CN"/>
        </w:rPr>
        <w:t>万元，主要用于办公费、印刷费、水费、电费、差旅费、维修（护）费、培训费、</w:t>
      </w:r>
      <w:r>
        <w:rPr>
          <w:rFonts w:hint="eastAsia" w:ascii="宋体" w:hAnsi="宋体" w:cs="方正仿宋_GBK"/>
          <w:color w:val="auto"/>
          <w:sz w:val="32"/>
          <w:lang w:val="en-US" w:eastAsia="zh-CN"/>
        </w:rPr>
        <w:t>委托业务</w:t>
      </w:r>
      <w:r>
        <w:rPr>
          <w:rFonts w:hint="eastAsia" w:ascii="宋体" w:hAnsi="宋体" w:eastAsia="方正仿宋_GBK" w:cs="方正仿宋_GBK"/>
          <w:color w:val="auto"/>
          <w:sz w:val="32"/>
          <w:lang w:val="en-US" w:eastAsia="zh-CN"/>
        </w:rPr>
        <w:t>费、工会经费、福利费、其他商品和服务支出，较上年决算数</w:t>
      </w:r>
      <w:r>
        <w:rPr>
          <w:rFonts w:hint="eastAsia" w:ascii="宋体" w:hAnsi="宋体" w:cs="方正仿宋_GBK"/>
          <w:color w:val="auto"/>
          <w:sz w:val="32"/>
          <w:lang w:val="en-US" w:eastAsia="zh-CN"/>
        </w:rPr>
        <w:t>减少3.19</w:t>
      </w:r>
      <w:r>
        <w:rPr>
          <w:rFonts w:hint="eastAsia" w:ascii="宋体" w:hAnsi="宋体" w:eastAsia="方正仿宋_GBK" w:cs="方正仿宋_GBK"/>
          <w:color w:val="auto"/>
          <w:sz w:val="32"/>
          <w:lang w:val="en-US" w:eastAsia="zh-CN"/>
        </w:rPr>
        <w:t>万元，</w:t>
      </w:r>
      <w:r>
        <w:rPr>
          <w:rFonts w:hint="eastAsia" w:ascii="宋体" w:hAnsi="宋体" w:cs="方正仿宋_GBK"/>
          <w:color w:val="auto"/>
          <w:sz w:val="32"/>
          <w:lang w:val="en-US" w:eastAsia="zh-CN"/>
        </w:rPr>
        <w:t>下降9.46</w:t>
      </w:r>
      <w:r>
        <w:rPr>
          <w:rFonts w:hint="eastAsia" w:ascii="宋体" w:hAnsi="宋体" w:eastAsia="方正仿宋_GBK" w:cs="方正仿宋_GBK"/>
          <w:color w:val="auto"/>
          <w:sz w:val="32"/>
          <w:lang w:val="en-US" w:eastAsia="zh-CN"/>
        </w:rPr>
        <w:t>%，主要原因是公用经费标准降低，且弥补人员经费增加。</w:t>
      </w:r>
    </w:p>
    <w:p w14:paraId="5DB89D73">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3084BA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5B2D2A51">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FF289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A18FD0A">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62A87D4D">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0994B5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万元，较年初预算数</w:t>
      </w:r>
      <w:r>
        <w:rPr>
          <w:rFonts w:hint="eastAsia" w:ascii="宋体" w:hAnsi="宋体" w:cs="方正仿宋_GBK"/>
          <w:color w:val="auto"/>
          <w:sz w:val="32"/>
          <w:lang w:val="en-US" w:eastAsia="zh-CN"/>
        </w:rPr>
        <w:t>持平</w:t>
      </w:r>
      <w:r>
        <w:rPr>
          <w:rFonts w:hint="eastAsia" w:ascii="宋体" w:hAnsi="宋体" w:eastAsia="方正仿宋_GBK" w:cs="方正仿宋_GBK"/>
          <w:color w:val="auto"/>
          <w:sz w:val="32"/>
          <w:lang w:val="en-US" w:eastAsia="zh-CN"/>
        </w:rPr>
        <w:t>，主要原因一是</w:t>
      </w:r>
      <w:r>
        <w:rPr>
          <w:rFonts w:hint="eastAsia" w:ascii="宋体" w:hAnsi="宋体" w:cs="方正仿宋_GBK"/>
          <w:color w:val="auto"/>
          <w:sz w:val="32"/>
          <w:lang w:val="en-US" w:eastAsia="zh-CN"/>
        </w:rPr>
        <w:t>电子政务服务中心无公务用车，二是由主管部门政务服务办负责接待</w:t>
      </w:r>
      <w:r>
        <w:rPr>
          <w:rFonts w:hint="eastAsia" w:ascii="宋体" w:hAnsi="宋体" w:eastAsia="方正仿宋_GBK" w:cs="方正仿宋_GBK"/>
          <w:color w:val="auto"/>
          <w:sz w:val="32"/>
          <w:lang w:val="en-US" w:eastAsia="zh-CN"/>
        </w:rPr>
        <w:t>。较上年支出数</w:t>
      </w:r>
      <w:r>
        <w:rPr>
          <w:rFonts w:hint="eastAsia" w:ascii="宋体" w:hAnsi="宋体" w:cs="方正仿宋_GBK"/>
          <w:color w:val="auto"/>
          <w:sz w:val="32"/>
          <w:lang w:val="en-US" w:eastAsia="zh-CN"/>
        </w:rPr>
        <w:t>持平</w:t>
      </w:r>
      <w:r>
        <w:rPr>
          <w:rFonts w:hint="eastAsia" w:ascii="宋体" w:hAnsi="宋体" w:eastAsia="方正仿宋_GBK" w:cs="方正仿宋_GBK"/>
          <w:color w:val="auto"/>
          <w:sz w:val="32"/>
          <w:lang w:val="en-US" w:eastAsia="zh-CN"/>
        </w:rPr>
        <w:t>，主要原因一是电子政务服务中心无公务用车，二是由主管部门政务服务办负责接待。</w:t>
      </w:r>
    </w:p>
    <w:p w14:paraId="62B7E8E4">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2CEF02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因公出国（境）费用0万元。费用支出与年初预算数持平；与上年支出数持平，主要原因是无因公出国（境）计划。</w:t>
      </w:r>
    </w:p>
    <w:p w14:paraId="331DAC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公务车购置费用0万元。费用支出与年初预算数持平；与上年支出数持平，主要原因是无公务车购置计划。</w:t>
      </w:r>
    </w:p>
    <w:p w14:paraId="33A87B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万元，费用支出与年初预算数持平；与上年支出数持平，主要原因是无</w:t>
      </w:r>
      <w:r>
        <w:rPr>
          <w:rFonts w:hint="eastAsia" w:ascii="宋体" w:hAnsi="宋体" w:cs="方正仿宋_GBK"/>
          <w:color w:val="auto"/>
          <w:sz w:val="32"/>
          <w:lang w:val="en-US" w:eastAsia="zh-CN"/>
        </w:rPr>
        <w:t>公务用车</w:t>
      </w:r>
      <w:r>
        <w:rPr>
          <w:rFonts w:hint="eastAsia" w:ascii="宋体" w:hAnsi="宋体" w:eastAsia="方正仿宋_GBK" w:cs="方正仿宋_GBK"/>
          <w:color w:val="auto"/>
          <w:sz w:val="32"/>
          <w:lang w:val="en-US" w:eastAsia="zh-CN"/>
        </w:rPr>
        <w:t>。</w:t>
      </w:r>
    </w:p>
    <w:p w14:paraId="634409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万元。费用支出与年初预算数持平；与上年支出数持平，主要原因是由主管部门政务服务办负责接待。</w:t>
      </w:r>
    </w:p>
    <w:p w14:paraId="22A2FA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139E07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w:t>
      </w:r>
      <w:r>
        <w:rPr>
          <w:rFonts w:hint="eastAsia" w:ascii="宋体" w:hAnsi="宋体" w:cs="方正仿宋_GBK"/>
          <w:color w:val="auto"/>
          <w:sz w:val="32"/>
          <w:lang w:val="en-US" w:eastAsia="zh-CN"/>
        </w:rPr>
        <w:t>单位</w:t>
      </w:r>
      <w:r>
        <w:rPr>
          <w:rFonts w:hint="eastAsia" w:ascii="宋体" w:hAnsi="宋体" w:eastAsia="方正仿宋_GBK" w:cs="方正仿宋_GBK"/>
          <w:color w:val="auto"/>
          <w:sz w:val="32"/>
          <w:lang w:val="en-US" w:eastAsia="zh-CN"/>
        </w:rPr>
        <w:t>因公出国（境）共计0个团组，0人；公务用车购置0辆，公务车保有量为</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辆；国内公务接待</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批次</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人，其中：国内外事接待0批次，0人；国（境）外公务接待0批次，0人。人均接待费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元，车均购置费0万元，车均维护费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万元。</w:t>
      </w:r>
    </w:p>
    <w:p w14:paraId="32CEE6A2">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06732F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5097569">
      <w:pPr>
        <w:pStyle w:val="5"/>
        <w:keepNext w:val="0"/>
        <w:keepLines w:val="0"/>
        <w:pageBreakBefore w:val="0"/>
        <w:kinsoku/>
        <w:wordWrap/>
        <w:overflowPunct/>
        <w:topLinePunct w:val="0"/>
        <w:autoSpaceDN/>
        <w:bidi w:val="0"/>
        <w:snapToGrid w:val="0"/>
        <w:spacing w:before="0" w:beforeAutospacing="0" w:after="0" w:afterAutospacing="0" w:line="579" w:lineRule="exact"/>
        <w:ind w:firstLine="632"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cs="方正仿宋_GBK"/>
          <w:sz w:val="32"/>
          <w:szCs w:val="32"/>
          <w:shd w:val="clear" w:color="auto" w:fill="FFFFFF"/>
          <w:lang w:val="en-US"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cs="方正仿宋_GBK"/>
          <w:sz w:val="32"/>
          <w:szCs w:val="32"/>
          <w:shd w:val="clear" w:color="auto" w:fill="FFFFFF"/>
          <w:lang w:val="en-US" w:eastAsia="zh-CN"/>
        </w:rPr>
        <w:t>电子政务服务中心</w:t>
      </w:r>
      <w:r>
        <w:rPr>
          <w:rFonts w:hint="eastAsia" w:ascii="方正仿宋_GBK" w:hAnsi="方正仿宋_GBK" w:eastAsia="方正仿宋_GBK" w:cs="方正仿宋_GBK"/>
          <w:sz w:val="32"/>
          <w:szCs w:val="32"/>
          <w:shd w:val="clear" w:color="auto" w:fill="FFFFFF"/>
        </w:rPr>
        <w:t>2024年未召开会议</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cs="方正仿宋_GBK"/>
          <w:sz w:val="32"/>
          <w:szCs w:val="32"/>
          <w:lang w:val="en-US" w:eastAsia="zh-CN"/>
        </w:rPr>
        <w:t>0.15</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cs="方正仿宋_GBK"/>
          <w:sz w:val="32"/>
          <w:szCs w:val="32"/>
          <w:shd w:val="clear" w:color="auto" w:fill="FFFFFF"/>
          <w:lang w:val="en-US" w:eastAsia="zh-CN"/>
        </w:rPr>
        <w:t>1.16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w:t>
      </w:r>
      <w:r>
        <w:rPr>
          <w:rFonts w:hint="eastAsia" w:ascii="方正仿宋_GBK" w:hAnsi="方正仿宋_GBK" w:cs="方正仿宋_GBK"/>
          <w:sz w:val="32"/>
          <w:szCs w:val="32"/>
          <w:shd w:val="clear" w:color="auto" w:fill="FFFFFF"/>
          <w:lang w:val="en-US" w:eastAsia="zh-CN"/>
        </w:rPr>
        <w:t>88.55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2024年培训大幅减少。</w:t>
      </w:r>
    </w:p>
    <w:p w14:paraId="4A0929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386772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按照部门决算列报口径，我单位不在机关运行经费统计范围之内。</w:t>
      </w:r>
    </w:p>
    <w:p w14:paraId="2E8FB2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1FFE28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w:t>
      </w:r>
      <w:r>
        <w:rPr>
          <w:rFonts w:hint="eastAsia" w:ascii="宋体" w:hAnsi="宋体" w:cs="方正仿宋_GBK"/>
          <w:kern w:val="0"/>
          <w:sz w:val="32"/>
          <w:szCs w:val="32"/>
          <w:lang w:eastAsia="zh-CN"/>
        </w:rPr>
        <w:t>单位</w:t>
      </w:r>
      <w:r>
        <w:rPr>
          <w:rFonts w:hint="eastAsia" w:ascii="宋体" w:hAnsi="宋体" w:eastAsia="方正仿宋_GBK" w:cs="方正仿宋_GBK"/>
          <w:kern w:val="0"/>
          <w:sz w:val="32"/>
          <w:szCs w:val="32"/>
        </w:rPr>
        <w:t>共有车辆</w:t>
      </w:r>
      <w:r>
        <w:rPr>
          <w:rFonts w:hint="eastAsia" w:ascii="宋体" w:hAnsi="宋体" w:cs="方正仿宋_GBK"/>
          <w:kern w:val="0"/>
          <w:sz w:val="32"/>
          <w:szCs w:val="32"/>
          <w:lang w:val="en-US" w:eastAsia="zh-CN"/>
        </w:rPr>
        <w:t>0</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cs="方正仿宋_GBK"/>
          <w:kern w:val="0"/>
          <w:sz w:val="32"/>
          <w:szCs w:val="32"/>
          <w:lang w:val="en-US" w:eastAsia="zh-CN"/>
        </w:rPr>
        <w:t>0</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14:paraId="32AA7B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7A12E7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left"/>
        <w:textAlignment w:val="auto"/>
        <w:outlineLvl w:val="0"/>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2024年度我单位未发生政府采购事项，无相关经费支出。</w:t>
      </w:r>
    </w:p>
    <w:p w14:paraId="61F2F9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70089838">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7D12C99B">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cs="方正仿宋_GBK"/>
          <w:kern w:val="0"/>
          <w:sz w:val="32"/>
          <w:szCs w:val="32"/>
          <w:lang w:val="en-US" w:eastAsia="zh-CN"/>
        </w:rPr>
        <w:t>中心</w:t>
      </w:r>
      <w:r>
        <w:rPr>
          <w:rFonts w:hint="eastAsia" w:ascii="宋体" w:hAnsi="宋体" w:eastAsia="方正仿宋_GBK" w:cs="方正仿宋_GBK"/>
          <w:kern w:val="0"/>
          <w:sz w:val="32"/>
          <w:szCs w:val="32"/>
        </w:rPr>
        <w:t>对</w:t>
      </w:r>
      <w:r>
        <w:rPr>
          <w:rFonts w:hint="eastAsia" w:ascii="宋体" w:hAnsi="宋体" w:cs="方正仿宋_GBK"/>
          <w:kern w:val="0"/>
          <w:sz w:val="32"/>
          <w:szCs w:val="32"/>
          <w:lang w:val="en-US" w:eastAsia="zh-CN"/>
        </w:rPr>
        <w:t>2</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cs="方正仿宋_GBK"/>
          <w:kern w:val="0"/>
          <w:sz w:val="32"/>
          <w:szCs w:val="32"/>
          <w:lang w:val="en-US" w:eastAsia="zh-CN"/>
        </w:rPr>
        <w:t>2</w:t>
      </w:r>
      <w:r>
        <w:rPr>
          <w:rFonts w:hint="eastAsia" w:ascii="宋体" w:hAnsi="宋体" w:eastAsia="方正仿宋_GBK" w:cs="方正仿宋_GBK"/>
          <w:kern w:val="0"/>
          <w:sz w:val="32"/>
          <w:szCs w:val="32"/>
        </w:rPr>
        <w:t>项，涉及资金</w:t>
      </w:r>
      <w:r>
        <w:rPr>
          <w:rFonts w:hint="eastAsia" w:ascii="宋体" w:hAnsi="宋体" w:cs="方正仿宋_GBK"/>
          <w:kern w:val="0"/>
          <w:sz w:val="32"/>
          <w:szCs w:val="32"/>
          <w:lang w:val="en-US" w:eastAsia="zh-CN"/>
        </w:rPr>
        <w:t>66.70</w:t>
      </w:r>
      <w:r>
        <w:rPr>
          <w:rFonts w:hint="eastAsia" w:ascii="宋体" w:hAnsi="宋体" w:eastAsia="方正仿宋_GBK" w:cs="方正仿宋_GBK"/>
          <w:kern w:val="0"/>
          <w:sz w:val="32"/>
          <w:szCs w:val="32"/>
        </w:rPr>
        <w:t>万元；以委托第三方形式开展绩效自评</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41222D91">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14:paraId="5C1F3EA4">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53A66796">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cs="方正仿宋_GBK"/>
          <w:color w:val="auto"/>
          <w:kern w:val="0"/>
          <w:sz w:val="32"/>
          <w:szCs w:val="32"/>
          <w:lang w:eastAsia="zh-CN"/>
        </w:rPr>
        <w:t>单位</w:t>
      </w:r>
      <w:r>
        <w:rPr>
          <w:rFonts w:hint="eastAsia" w:ascii="宋体" w:hAnsi="宋体" w:eastAsia="方正仿宋_GBK" w:cs="方正仿宋_GBK"/>
          <w:color w:val="auto"/>
          <w:sz w:val="32"/>
          <w:szCs w:val="32"/>
          <w:highlight w:val="none"/>
          <w:lang w:val="en-US" w:eastAsia="zh-CN"/>
        </w:rPr>
        <w:t>项目绩效自评表。</w:t>
      </w:r>
    </w:p>
    <w:p w14:paraId="0964172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方正黑体_GBK" w:hAnsi="方正黑体_GBK" w:eastAsia="方正黑体_GBK" w:cs="方正黑体_GBK"/>
          <w:b w:val="0"/>
          <w:bCs w:val="0"/>
          <w:color w:val="000000"/>
          <w:kern w:val="0"/>
          <w:sz w:val="36"/>
          <w:szCs w:val="36"/>
          <w:lang w:val="en-US" w:eastAsia="zh-CN"/>
        </w:rPr>
      </w:pPr>
      <w:r>
        <w:rPr>
          <w:rFonts w:hint="eastAsia" w:ascii="宋体" w:hAnsi="宋体" w:eastAsia="方正仿宋_GBK" w:cs="方正仿宋_GBK"/>
          <w:kern w:val="0"/>
          <w:sz w:val="32"/>
          <w:szCs w:val="32"/>
        </w:rPr>
        <w:t>（2）公开内容。详见表格。</w:t>
      </w:r>
    </w:p>
    <w:p w14:paraId="6DAC0250">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8"/>
        <w:gridCol w:w="774"/>
        <w:gridCol w:w="854"/>
        <w:gridCol w:w="159"/>
        <w:gridCol w:w="751"/>
        <w:gridCol w:w="524"/>
        <w:gridCol w:w="353"/>
        <w:gridCol w:w="910"/>
        <w:gridCol w:w="888"/>
        <w:gridCol w:w="968"/>
        <w:gridCol w:w="888"/>
        <w:gridCol w:w="206"/>
        <w:gridCol w:w="892"/>
      </w:tblGrid>
      <w:tr w14:paraId="364A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16AF6D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67EAB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180" w:type="dxa"/>
            <w:gridSpan w:val="6"/>
            <w:tcBorders>
              <w:tl2br w:val="nil"/>
              <w:tr2bl w:val="nil"/>
            </w:tcBorders>
            <w:noWrap w:val="0"/>
            <w:vAlign w:val="center"/>
          </w:tcPr>
          <w:p w14:paraId="5A0ED43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电子政务网络光纤租赁</w:t>
            </w:r>
          </w:p>
        </w:tc>
        <w:tc>
          <w:tcPr>
            <w:tcW w:w="1263" w:type="dxa"/>
            <w:gridSpan w:val="2"/>
            <w:tcBorders>
              <w:tl2br w:val="nil"/>
              <w:tr2bl w:val="nil"/>
            </w:tcBorders>
            <w:noWrap w:val="0"/>
            <w:vAlign w:val="center"/>
          </w:tcPr>
          <w:p w14:paraId="3DB279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4592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1FD11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842" w:type="dxa"/>
            <w:gridSpan w:val="5"/>
            <w:tcBorders>
              <w:tl2br w:val="nil"/>
              <w:tr2bl w:val="nil"/>
            </w:tcBorders>
            <w:noWrap w:val="0"/>
            <w:vAlign w:val="center"/>
          </w:tcPr>
          <w:p w14:paraId="7BAC9C1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14:paraId="6834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0E9B27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3219ED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eastAsia="zh-CN"/>
              </w:rPr>
            </w:pPr>
            <w:r>
              <w:rPr>
                <w:rFonts w:hint="eastAsia" w:ascii="宋体" w:hAnsi="宋体" w:cs="方正仿宋_GBK"/>
                <w:color w:val="000000"/>
                <w:kern w:val="0"/>
                <w:sz w:val="24"/>
                <w:szCs w:val="24"/>
                <w:lang w:eastAsia="zh-CN"/>
              </w:rPr>
              <w:t>单位</w:t>
            </w:r>
          </w:p>
        </w:tc>
        <w:tc>
          <w:tcPr>
            <w:tcW w:w="1892" w:type="dxa"/>
            <w:gridSpan w:val="2"/>
            <w:tcBorders>
              <w:tl2br w:val="nil"/>
              <w:tr2bl w:val="nil"/>
            </w:tcBorders>
            <w:noWrap w:val="0"/>
            <w:vAlign w:val="center"/>
          </w:tcPr>
          <w:p w14:paraId="46FFC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p>
        </w:tc>
        <w:tc>
          <w:tcPr>
            <w:tcW w:w="854" w:type="dxa"/>
            <w:tcBorders>
              <w:tl2br w:val="nil"/>
              <w:tr2bl w:val="nil"/>
            </w:tcBorders>
            <w:noWrap w:val="0"/>
            <w:vAlign w:val="center"/>
          </w:tcPr>
          <w:p w14:paraId="6169C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434" w:type="dxa"/>
            <w:gridSpan w:val="3"/>
            <w:tcBorders>
              <w:tl2br w:val="nil"/>
              <w:tr2bl w:val="nil"/>
            </w:tcBorders>
            <w:noWrap w:val="0"/>
            <w:vAlign w:val="center"/>
          </w:tcPr>
          <w:p w14:paraId="3EBC5A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p>
        </w:tc>
        <w:tc>
          <w:tcPr>
            <w:tcW w:w="1263" w:type="dxa"/>
            <w:gridSpan w:val="2"/>
            <w:tcBorders>
              <w:tl2br w:val="nil"/>
              <w:tr2bl w:val="nil"/>
            </w:tcBorders>
            <w:noWrap w:val="0"/>
            <w:vAlign w:val="center"/>
          </w:tcPr>
          <w:p w14:paraId="4ECDA9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17FC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88" w:type="dxa"/>
            <w:tcBorders>
              <w:tl2br w:val="nil"/>
              <w:tr2bl w:val="nil"/>
            </w:tcBorders>
            <w:noWrap w:val="0"/>
            <w:vAlign w:val="center"/>
          </w:tcPr>
          <w:p w14:paraId="34042A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林乐</w:t>
            </w:r>
          </w:p>
        </w:tc>
        <w:tc>
          <w:tcPr>
            <w:tcW w:w="968" w:type="dxa"/>
            <w:tcBorders>
              <w:tl2br w:val="nil"/>
              <w:tr2bl w:val="nil"/>
            </w:tcBorders>
            <w:noWrap w:val="0"/>
            <w:vAlign w:val="center"/>
          </w:tcPr>
          <w:p w14:paraId="5CF264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1986" w:type="dxa"/>
            <w:gridSpan w:val="3"/>
            <w:tcBorders>
              <w:tl2br w:val="nil"/>
              <w:tr2bl w:val="nil"/>
            </w:tcBorders>
            <w:noWrap w:val="0"/>
            <w:vAlign w:val="center"/>
          </w:tcPr>
          <w:p w14:paraId="53AB9A4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18580715819</w:t>
            </w:r>
          </w:p>
        </w:tc>
      </w:tr>
      <w:tr w14:paraId="727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7EB0B57">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892" w:type="dxa"/>
            <w:gridSpan w:val="2"/>
            <w:vMerge w:val="restart"/>
            <w:tcBorders>
              <w:tl2br w:val="nil"/>
              <w:tr2bl w:val="nil"/>
            </w:tcBorders>
            <w:noWrap w:val="0"/>
            <w:vAlign w:val="center"/>
          </w:tcPr>
          <w:p w14:paraId="306B8EC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854" w:type="dxa"/>
            <w:tcBorders>
              <w:tl2br w:val="nil"/>
              <w:tr2bl w:val="nil"/>
            </w:tcBorders>
            <w:noWrap w:val="0"/>
            <w:vAlign w:val="center"/>
          </w:tcPr>
          <w:p w14:paraId="15C4B7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256B6D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434" w:type="dxa"/>
            <w:gridSpan w:val="3"/>
            <w:tcBorders>
              <w:tl2br w:val="nil"/>
              <w:tr2bl w:val="nil"/>
            </w:tcBorders>
            <w:noWrap w:val="0"/>
            <w:vAlign w:val="center"/>
          </w:tcPr>
          <w:p w14:paraId="03E37A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151" w:type="dxa"/>
            <w:gridSpan w:val="3"/>
            <w:tcBorders>
              <w:tl2br w:val="nil"/>
              <w:tr2bl w:val="nil"/>
            </w:tcBorders>
            <w:noWrap w:val="0"/>
            <w:vAlign w:val="center"/>
          </w:tcPr>
          <w:p w14:paraId="6D82C2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68" w:type="dxa"/>
            <w:tcBorders>
              <w:tl2br w:val="nil"/>
              <w:tr2bl w:val="nil"/>
            </w:tcBorders>
            <w:noWrap w:val="0"/>
            <w:vAlign w:val="center"/>
          </w:tcPr>
          <w:p w14:paraId="200DC1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0516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88" w:type="dxa"/>
            <w:tcBorders>
              <w:tl2br w:val="nil"/>
              <w:tr2bl w:val="nil"/>
            </w:tcBorders>
            <w:noWrap w:val="0"/>
            <w:vAlign w:val="center"/>
          </w:tcPr>
          <w:p w14:paraId="16F728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8971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98" w:type="dxa"/>
            <w:gridSpan w:val="2"/>
            <w:tcBorders>
              <w:tl2br w:val="nil"/>
              <w:tr2bl w:val="nil"/>
            </w:tcBorders>
            <w:noWrap w:val="0"/>
            <w:vAlign w:val="center"/>
          </w:tcPr>
          <w:p w14:paraId="56F3D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0745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567CC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EF7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4C6EB3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vMerge w:val="continue"/>
            <w:tcBorders>
              <w:tl2br w:val="nil"/>
              <w:tr2bl w:val="nil"/>
            </w:tcBorders>
            <w:noWrap w:val="0"/>
            <w:vAlign w:val="center"/>
          </w:tcPr>
          <w:p w14:paraId="2020D2E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54" w:type="dxa"/>
            <w:tcBorders>
              <w:tl2br w:val="nil"/>
              <w:tr2bl w:val="nil"/>
            </w:tcBorders>
            <w:noWrap w:val="0"/>
            <w:vAlign w:val="center"/>
          </w:tcPr>
          <w:p w14:paraId="5F16A48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51.34</w:t>
            </w:r>
          </w:p>
        </w:tc>
        <w:tc>
          <w:tcPr>
            <w:tcW w:w="1434" w:type="dxa"/>
            <w:gridSpan w:val="3"/>
            <w:tcBorders>
              <w:tl2br w:val="nil"/>
              <w:tr2bl w:val="nil"/>
            </w:tcBorders>
            <w:noWrap w:val="0"/>
            <w:vAlign w:val="center"/>
          </w:tcPr>
          <w:p w14:paraId="7C783EE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50.7</w:t>
            </w:r>
          </w:p>
        </w:tc>
        <w:tc>
          <w:tcPr>
            <w:tcW w:w="2151" w:type="dxa"/>
            <w:gridSpan w:val="3"/>
            <w:tcBorders>
              <w:tl2br w:val="nil"/>
              <w:tr2bl w:val="nil"/>
            </w:tcBorders>
            <w:noWrap w:val="0"/>
            <w:vAlign w:val="center"/>
          </w:tcPr>
          <w:p w14:paraId="5FA1067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50.7</w:t>
            </w:r>
          </w:p>
        </w:tc>
        <w:tc>
          <w:tcPr>
            <w:tcW w:w="968" w:type="dxa"/>
            <w:tcBorders>
              <w:tl2br w:val="nil"/>
              <w:tr2bl w:val="nil"/>
            </w:tcBorders>
            <w:noWrap w:val="0"/>
            <w:vAlign w:val="center"/>
          </w:tcPr>
          <w:p w14:paraId="616A8E2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88" w:type="dxa"/>
            <w:tcBorders>
              <w:tl2br w:val="nil"/>
              <w:tr2bl w:val="nil"/>
            </w:tcBorders>
            <w:noWrap w:val="0"/>
            <w:vAlign w:val="center"/>
          </w:tcPr>
          <w:p w14:paraId="0153C47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1098" w:type="dxa"/>
            <w:gridSpan w:val="2"/>
            <w:tcBorders>
              <w:tl2br w:val="nil"/>
              <w:tr2bl w:val="nil"/>
            </w:tcBorders>
            <w:noWrap w:val="0"/>
            <w:vAlign w:val="center"/>
          </w:tcPr>
          <w:p w14:paraId="3BB462C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682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70A77CD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tcBorders>
              <w:tl2br w:val="nil"/>
              <w:tr2bl w:val="nil"/>
            </w:tcBorders>
            <w:noWrap w:val="0"/>
            <w:vAlign w:val="center"/>
          </w:tcPr>
          <w:p w14:paraId="2FB214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4267F0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854" w:type="dxa"/>
            <w:tcBorders>
              <w:tl2br w:val="nil"/>
              <w:tr2bl w:val="nil"/>
            </w:tcBorders>
            <w:noWrap w:val="0"/>
            <w:vAlign w:val="center"/>
          </w:tcPr>
          <w:p w14:paraId="43752E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51.34</w:t>
            </w:r>
          </w:p>
        </w:tc>
        <w:tc>
          <w:tcPr>
            <w:tcW w:w="1434" w:type="dxa"/>
            <w:gridSpan w:val="3"/>
            <w:tcBorders>
              <w:tl2br w:val="nil"/>
              <w:tr2bl w:val="nil"/>
            </w:tcBorders>
            <w:noWrap w:val="0"/>
            <w:vAlign w:val="center"/>
          </w:tcPr>
          <w:p w14:paraId="3AFAB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50.7</w:t>
            </w:r>
          </w:p>
        </w:tc>
        <w:tc>
          <w:tcPr>
            <w:tcW w:w="2151" w:type="dxa"/>
            <w:gridSpan w:val="3"/>
            <w:tcBorders>
              <w:tl2br w:val="nil"/>
              <w:tr2bl w:val="nil"/>
            </w:tcBorders>
            <w:noWrap w:val="0"/>
            <w:vAlign w:val="center"/>
          </w:tcPr>
          <w:p w14:paraId="050B89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50.7</w:t>
            </w:r>
          </w:p>
        </w:tc>
        <w:tc>
          <w:tcPr>
            <w:tcW w:w="968" w:type="dxa"/>
            <w:tcBorders>
              <w:tl2br w:val="nil"/>
              <w:tr2bl w:val="nil"/>
            </w:tcBorders>
            <w:noWrap w:val="0"/>
            <w:vAlign w:val="center"/>
          </w:tcPr>
          <w:p w14:paraId="3E1CC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88" w:type="dxa"/>
            <w:tcBorders>
              <w:tl2br w:val="nil"/>
              <w:tr2bl w:val="nil"/>
            </w:tcBorders>
            <w:noWrap w:val="0"/>
            <w:vAlign w:val="center"/>
          </w:tcPr>
          <w:p w14:paraId="0C3E56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098" w:type="dxa"/>
            <w:gridSpan w:val="2"/>
            <w:tcBorders>
              <w:tl2br w:val="nil"/>
              <w:tr2bl w:val="nil"/>
            </w:tcBorders>
            <w:noWrap w:val="0"/>
            <w:vAlign w:val="center"/>
          </w:tcPr>
          <w:p w14:paraId="62DEC2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2B1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AE9710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标</w:t>
            </w:r>
          </w:p>
        </w:tc>
        <w:tc>
          <w:tcPr>
            <w:tcW w:w="3656" w:type="dxa"/>
            <w:gridSpan w:val="5"/>
            <w:tcBorders>
              <w:tl2br w:val="nil"/>
              <w:tr2bl w:val="nil"/>
            </w:tcBorders>
            <w:noWrap w:val="0"/>
            <w:vAlign w:val="center"/>
          </w:tcPr>
          <w:p w14:paraId="0353043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675" w:type="dxa"/>
            <w:gridSpan w:val="4"/>
            <w:tcBorders>
              <w:tl2br w:val="nil"/>
              <w:tr2bl w:val="nil"/>
            </w:tcBorders>
            <w:noWrap w:val="0"/>
            <w:vAlign w:val="center"/>
          </w:tcPr>
          <w:p w14:paraId="1F9D59D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954" w:type="dxa"/>
            <w:gridSpan w:val="4"/>
            <w:tcBorders>
              <w:tl2br w:val="nil"/>
              <w:tr2bl w:val="nil"/>
            </w:tcBorders>
            <w:noWrap w:val="0"/>
            <w:vAlign w:val="center"/>
          </w:tcPr>
          <w:p w14:paraId="2ABF94A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2BB1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14:paraId="6DEBC5B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656" w:type="dxa"/>
            <w:gridSpan w:val="5"/>
            <w:tcBorders>
              <w:tl2br w:val="nil"/>
              <w:tr2bl w:val="nil"/>
            </w:tcBorders>
            <w:noWrap w:val="0"/>
            <w:vAlign w:val="center"/>
          </w:tcPr>
          <w:p w14:paraId="083C5E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保障全区依附于该专线的各业务系统稳定运行；政务服务中心接入互联网，全力打造安全稳定的网络环境，确保新政务大厅安全稳定运行。</w:t>
            </w:r>
          </w:p>
        </w:tc>
        <w:tc>
          <w:tcPr>
            <w:tcW w:w="2675" w:type="dxa"/>
            <w:gridSpan w:val="4"/>
            <w:tcBorders>
              <w:tl2br w:val="nil"/>
              <w:tr2bl w:val="nil"/>
            </w:tcBorders>
            <w:noWrap w:val="0"/>
            <w:vAlign w:val="center"/>
          </w:tcPr>
          <w:p w14:paraId="256415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p>
        </w:tc>
        <w:tc>
          <w:tcPr>
            <w:tcW w:w="2954" w:type="dxa"/>
            <w:gridSpan w:val="4"/>
            <w:tcBorders>
              <w:tl2br w:val="nil"/>
              <w:tr2bl w:val="nil"/>
            </w:tcBorders>
            <w:noWrap w:val="0"/>
            <w:vAlign w:val="center"/>
          </w:tcPr>
          <w:p w14:paraId="1598E8B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政务服务中心互联网稳定运行，电子政务中心机房以及车库互联网络正常运行。</w:t>
            </w:r>
          </w:p>
        </w:tc>
      </w:tr>
      <w:tr w14:paraId="3D7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370A19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绩</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效指 标</w:t>
            </w:r>
          </w:p>
        </w:tc>
        <w:tc>
          <w:tcPr>
            <w:tcW w:w="1118" w:type="dxa"/>
            <w:tcBorders>
              <w:tl2br w:val="nil"/>
              <w:tr2bl w:val="nil"/>
            </w:tcBorders>
            <w:noWrap w:val="0"/>
            <w:vAlign w:val="center"/>
          </w:tcPr>
          <w:p w14:paraId="2D4B4D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B4CB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74" w:type="dxa"/>
            <w:tcBorders>
              <w:tl2br w:val="nil"/>
              <w:tr2bl w:val="nil"/>
            </w:tcBorders>
            <w:noWrap w:val="0"/>
            <w:vAlign w:val="center"/>
          </w:tcPr>
          <w:p w14:paraId="5C2BDD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1850A8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1013" w:type="dxa"/>
            <w:gridSpan w:val="2"/>
            <w:tcBorders>
              <w:tl2br w:val="nil"/>
              <w:tr2bl w:val="nil"/>
            </w:tcBorders>
            <w:noWrap w:val="0"/>
            <w:vAlign w:val="center"/>
          </w:tcPr>
          <w:p w14:paraId="4386E0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70B18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51" w:type="dxa"/>
            <w:tcBorders>
              <w:tl2br w:val="nil"/>
              <w:tr2bl w:val="nil"/>
            </w:tcBorders>
            <w:noWrap w:val="0"/>
            <w:vAlign w:val="center"/>
          </w:tcPr>
          <w:p w14:paraId="26097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2D8CD5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77" w:type="dxa"/>
            <w:gridSpan w:val="2"/>
            <w:tcBorders>
              <w:tl2br w:val="nil"/>
              <w:tr2bl w:val="nil"/>
            </w:tcBorders>
            <w:noWrap w:val="0"/>
            <w:vAlign w:val="center"/>
          </w:tcPr>
          <w:p w14:paraId="09BFC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103707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10" w:type="dxa"/>
            <w:tcBorders>
              <w:tl2br w:val="nil"/>
              <w:tr2bl w:val="nil"/>
            </w:tcBorders>
            <w:noWrap w:val="0"/>
            <w:vAlign w:val="center"/>
          </w:tcPr>
          <w:p w14:paraId="0D7B74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88" w:type="dxa"/>
            <w:tcBorders>
              <w:tl2br w:val="nil"/>
              <w:tr2bl w:val="nil"/>
            </w:tcBorders>
            <w:noWrap w:val="0"/>
            <w:vAlign w:val="center"/>
          </w:tcPr>
          <w:p w14:paraId="298127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F9ED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5BD6D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68" w:type="dxa"/>
            <w:tcBorders>
              <w:tl2br w:val="nil"/>
              <w:tr2bl w:val="nil"/>
            </w:tcBorders>
            <w:noWrap w:val="0"/>
            <w:vAlign w:val="center"/>
          </w:tcPr>
          <w:p w14:paraId="6C078F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80C0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3BD05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094" w:type="dxa"/>
            <w:gridSpan w:val="2"/>
            <w:tcBorders>
              <w:tl2br w:val="nil"/>
              <w:tr2bl w:val="nil"/>
            </w:tcBorders>
            <w:noWrap w:val="0"/>
            <w:vAlign w:val="center"/>
          </w:tcPr>
          <w:p w14:paraId="62AF9C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40BE4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638D9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32BE8A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45D5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E250A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162A9F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设备租赁年限</w:t>
            </w:r>
          </w:p>
        </w:tc>
        <w:tc>
          <w:tcPr>
            <w:tcW w:w="774" w:type="dxa"/>
            <w:tcBorders>
              <w:tl2br w:val="nil"/>
              <w:tr2bl w:val="nil"/>
            </w:tcBorders>
            <w:noWrap w:val="0"/>
            <w:vAlign w:val="center"/>
          </w:tcPr>
          <w:p w14:paraId="3428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w:t>
            </w:r>
          </w:p>
        </w:tc>
        <w:tc>
          <w:tcPr>
            <w:tcW w:w="1013" w:type="dxa"/>
            <w:gridSpan w:val="2"/>
            <w:tcBorders>
              <w:tl2br w:val="nil"/>
              <w:tr2bl w:val="nil"/>
            </w:tcBorders>
            <w:noWrap w:val="0"/>
            <w:vAlign w:val="center"/>
          </w:tcPr>
          <w:p w14:paraId="70E6659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cs="方正仿宋_GBK"/>
                <w:color w:val="000000"/>
                <w:kern w:val="0"/>
                <w:sz w:val="24"/>
                <w:szCs w:val="24"/>
                <w:lang w:val="en-US" w:eastAsia="zh-CN"/>
              </w:rPr>
              <w:t>=</w:t>
            </w:r>
          </w:p>
        </w:tc>
        <w:tc>
          <w:tcPr>
            <w:tcW w:w="751" w:type="dxa"/>
            <w:tcBorders>
              <w:tl2br w:val="nil"/>
              <w:tr2bl w:val="nil"/>
            </w:tcBorders>
            <w:noWrap w:val="0"/>
            <w:vAlign w:val="center"/>
          </w:tcPr>
          <w:p w14:paraId="6C07926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w:t>
            </w:r>
          </w:p>
        </w:tc>
        <w:tc>
          <w:tcPr>
            <w:tcW w:w="877" w:type="dxa"/>
            <w:gridSpan w:val="2"/>
            <w:tcBorders>
              <w:tl2br w:val="nil"/>
              <w:tr2bl w:val="nil"/>
            </w:tcBorders>
            <w:noWrap w:val="0"/>
            <w:vAlign w:val="center"/>
          </w:tcPr>
          <w:p w14:paraId="7726EF9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w:t>
            </w:r>
          </w:p>
        </w:tc>
        <w:tc>
          <w:tcPr>
            <w:tcW w:w="910" w:type="dxa"/>
            <w:tcBorders>
              <w:tl2br w:val="nil"/>
              <w:tr2bl w:val="nil"/>
            </w:tcBorders>
            <w:noWrap w:val="0"/>
            <w:vAlign w:val="center"/>
          </w:tcPr>
          <w:p w14:paraId="1A0911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17263AC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6BC18D7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w:t>
            </w:r>
          </w:p>
        </w:tc>
        <w:tc>
          <w:tcPr>
            <w:tcW w:w="1094" w:type="dxa"/>
            <w:gridSpan w:val="2"/>
            <w:tcBorders>
              <w:tl2br w:val="nil"/>
              <w:tr2bl w:val="nil"/>
            </w:tcBorders>
            <w:noWrap w:val="0"/>
            <w:vAlign w:val="center"/>
          </w:tcPr>
          <w:p w14:paraId="62DB5DE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w:t>
            </w:r>
          </w:p>
        </w:tc>
        <w:tc>
          <w:tcPr>
            <w:tcW w:w="892" w:type="dxa"/>
            <w:tcBorders>
              <w:tl2br w:val="nil"/>
              <w:tr2bl w:val="nil"/>
            </w:tcBorders>
            <w:noWrap w:val="0"/>
            <w:vAlign w:val="center"/>
          </w:tcPr>
          <w:p w14:paraId="0E25E10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1BB1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28F5CE2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02796F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光纤故障率</w:t>
            </w:r>
          </w:p>
        </w:tc>
        <w:tc>
          <w:tcPr>
            <w:tcW w:w="774" w:type="dxa"/>
            <w:tcBorders>
              <w:tl2br w:val="nil"/>
              <w:tr2bl w:val="nil"/>
            </w:tcBorders>
            <w:noWrap w:val="0"/>
            <w:vAlign w:val="center"/>
          </w:tcPr>
          <w:p w14:paraId="4FCB0E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13" w:type="dxa"/>
            <w:gridSpan w:val="2"/>
            <w:tcBorders>
              <w:tl2br w:val="nil"/>
              <w:tr2bl w:val="nil"/>
            </w:tcBorders>
            <w:noWrap w:val="0"/>
            <w:vAlign w:val="center"/>
          </w:tcPr>
          <w:p w14:paraId="5371F6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1A700E2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w:t>
            </w:r>
          </w:p>
        </w:tc>
        <w:tc>
          <w:tcPr>
            <w:tcW w:w="877" w:type="dxa"/>
            <w:gridSpan w:val="2"/>
            <w:tcBorders>
              <w:tl2br w:val="nil"/>
              <w:tr2bl w:val="nil"/>
            </w:tcBorders>
            <w:noWrap w:val="0"/>
            <w:vAlign w:val="center"/>
          </w:tcPr>
          <w:p w14:paraId="2B38F0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w:t>
            </w:r>
          </w:p>
        </w:tc>
        <w:tc>
          <w:tcPr>
            <w:tcW w:w="910" w:type="dxa"/>
            <w:tcBorders>
              <w:tl2br w:val="nil"/>
              <w:tr2bl w:val="nil"/>
            </w:tcBorders>
            <w:noWrap w:val="0"/>
            <w:vAlign w:val="center"/>
          </w:tcPr>
          <w:p w14:paraId="60DF212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777CA10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1A64DA4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1094" w:type="dxa"/>
            <w:gridSpan w:val="2"/>
            <w:tcBorders>
              <w:tl2br w:val="nil"/>
              <w:tr2bl w:val="nil"/>
            </w:tcBorders>
            <w:noWrap w:val="0"/>
            <w:vAlign w:val="center"/>
          </w:tcPr>
          <w:p w14:paraId="38A5485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892" w:type="dxa"/>
            <w:tcBorders>
              <w:tl2br w:val="nil"/>
              <w:tr2bl w:val="nil"/>
            </w:tcBorders>
            <w:noWrap w:val="0"/>
            <w:vAlign w:val="center"/>
          </w:tcPr>
          <w:p w14:paraId="1F06E62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7B1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Merge w:val="continue"/>
            <w:tcBorders>
              <w:tl2br w:val="nil"/>
              <w:tr2bl w:val="nil"/>
            </w:tcBorders>
            <w:noWrap w:val="0"/>
            <w:vAlign w:val="center"/>
          </w:tcPr>
          <w:p w14:paraId="42B8269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6CFAE4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系统运行维护响应时间</w:t>
            </w:r>
          </w:p>
        </w:tc>
        <w:tc>
          <w:tcPr>
            <w:tcW w:w="774" w:type="dxa"/>
            <w:tcBorders>
              <w:tl2br w:val="nil"/>
              <w:tr2bl w:val="nil"/>
            </w:tcBorders>
            <w:noWrap w:val="0"/>
            <w:vAlign w:val="center"/>
          </w:tcPr>
          <w:p w14:paraId="0A8285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cs="方正仿宋_GBK"/>
                <w:color w:val="000000"/>
                <w:kern w:val="0"/>
                <w:sz w:val="24"/>
                <w:szCs w:val="24"/>
                <w:lang w:val="en-US" w:eastAsia="zh-CN"/>
              </w:rPr>
              <w:t>小时</w:t>
            </w:r>
          </w:p>
        </w:tc>
        <w:tc>
          <w:tcPr>
            <w:tcW w:w="1013" w:type="dxa"/>
            <w:gridSpan w:val="2"/>
            <w:tcBorders>
              <w:tl2br w:val="nil"/>
              <w:tr2bl w:val="nil"/>
            </w:tcBorders>
            <w:noWrap w:val="0"/>
            <w:vAlign w:val="center"/>
          </w:tcPr>
          <w:p w14:paraId="79483B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28C4181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w:t>
            </w:r>
          </w:p>
        </w:tc>
        <w:tc>
          <w:tcPr>
            <w:tcW w:w="877" w:type="dxa"/>
            <w:gridSpan w:val="2"/>
            <w:tcBorders>
              <w:tl2br w:val="nil"/>
              <w:tr2bl w:val="nil"/>
            </w:tcBorders>
            <w:noWrap w:val="0"/>
            <w:vAlign w:val="center"/>
          </w:tcPr>
          <w:p w14:paraId="4A6A588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w:t>
            </w:r>
          </w:p>
        </w:tc>
        <w:tc>
          <w:tcPr>
            <w:tcW w:w="910" w:type="dxa"/>
            <w:tcBorders>
              <w:tl2br w:val="nil"/>
              <w:tr2bl w:val="nil"/>
            </w:tcBorders>
            <w:noWrap w:val="0"/>
            <w:vAlign w:val="center"/>
          </w:tcPr>
          <w:p w14:paraId="62C3141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0</w:t>
            </w:r>
          </w:p>
        </w:tc>
        <w:tc>
          <w:tcPr>
            <w:tcW w:w="888" w:type="dxa"/>
            <w:tcBorders>
              <w:tl2br w:val="nil"/>
              <w:tr2bl w:val="nil"/>
            </w:tcBorders>
            <w:noWrap w:val="0"/>
            <w:vAlign w:val="center"/>
          </w:tcPr>
          <w:p w14:paraId="6C11E7B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418463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1094" w:type="dxa"/>
            <w:gridSpan w:val="2"/>
            <w:tcBorders>
              <w:tl2br w:val="nil"/>
              <w:tr2bl w:val="nil"/>
            </w:tcBorders>
            <w:noWrap w:val="0"/>
            <w:vAlign w:val="center"/>
          </w:tcPr>
          <w:p w14:paraId="2847B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892" w:type="dxa"/>
            <w:tcBorders>
              <w:tl2br w:val="nil"/>
              <w:tr2bl w:val="nil"/>
            </w:tcBorders>
            <w:noWrap w:val="0"/>
            <w:vAlign w:val="center"/>
          </w:tcPr>
          <w:p w14:paraId="0528484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4C0F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Merge w:val="continue"/>
            <w:tcBorders>
              <w:tl2br w:val="nil"/>
              <w:tr2bl w:val="nil"/>
            </w:tcBorders>
            <w:noWrap w:val="0"/>
            <w:vAlign w:val="center"/>
          </w:tcPr>
          <w:p w14:paraId="590729E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1232E2D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保证正常办公率</w:t>
            </w:r>
          </w:p>
        </w:tc>
        <w:tc>
          <w:tcPr>
            <w:tcW w:w="774" w:type="dxa"/>
            <w:tcBorders>
              <w:tl2br w:val="nil"/>
              <w:tr2bl w:val="nil"/>
            </w:tcBorders>
            <w:noWrap w:val="0"/>
            <w:vAlign w:val="center"/>
          </w:tcPr>
          <w:p w14:paraId="2545EF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w:t>
            </w:r>
          </w:p>
        </w:tc>
        <w:tc>
          <w:tcPr>
            <w:tcW w:w="1013" w:type="dxa"/>
            <w:gridSpan w:val="2"/>
            <w:tcBorders>
              <w:tl2br w:val="nil"/>
              <w:tr2bl w:val="nil"/>
            </w:tcBorders>
            <w:noWrap w:val="0"/>
            <w:vAlign w:val="center"/>
          </w:tcPr>
          <w:p w14:paraId="5FD278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0F5197A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90</w:t>
            </w:r>
          </w:p>
        </w:tc>
        <w:tc>
          <w:tcPr>
            <w:tcW w:w="877" w:type="dxa"/>
            <w:gridSpan w:val="2"/>
            <w:tcBorders>
              <w:tl2br w:val="nil"/>
              <w:tr2bl w:val="nil"/>
            </w:tcBorders>
            <w:noWrap w:val="0"/>
            <w:vAlign w:val="center"/>
          </w:tcPr>
          <w:p w14:paraId="173C930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95</w:t>
            </w:r>
          </w:p>
        </w:tc>
        <w:tc>
          <w:tcPr>
            <w:tcW w:w="910" w:type="dxa"/>
            <w:tcBorders>
              <w:tl2br w:val="nil"/>
              <w:tr2bl w:val="nil"/>
            </w:tcBorders>
            <w:noWrap w:val="0"/>
            <w:vAlign w:val="center"/>
          </w:tcPr>
          <w:p w14:paraId="73662C4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5.56</w:t>
            </w:r>
          </w:p>
        </w:tc>
        <w:tc>
          <w:tcPr>
            <w:tcW w:w="888" w:type="dxa"/>
            <w:tcBorders>
              <w:tl2br w:val="nil"/>
              <w:tr2bl w:val="nil"/>
            </w:tcBorders>
            <w:noWrap w:val="0"/>
            <w:vAlign w:val="center"/>
          </w:tcPr>
          <w:p w14:paraId="65B1176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100</w:t>
            </w:r>
          </w:p>
        </w:tc>
        <w:tc>
          <w:tcPr>
            <w:tcW w:w="968" w:type="dxa"/>
            <w:tcBorders>
              <w:tl2br w:val="nil"/>
              <w:tr2bl w:val="nil"/>
            </w:tcBorders>
            <w:noWrap w:val="0"/>
            <w:vAlign w:val="center"/>
          </w:tcPr>
          <w:p w14:paraId="5B01B49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1094" w:type="dxa"/>
            <w:gridSpan w:val="2"/>
            <w:tcBorders>
              <w:tl2br w:val="nil"/>
              <w:tr2bl w:val="nil"/>
            </w:tcBorders>
            <w:noWrap w:val="0"/>
            <w:vAlign w:val="center"/>
          </w:tcPr>
          <w:p w14:paraId="545226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892" w:type="dxa"/>
            <w:tcBorders>
              <w:tl2br w:val="nil"/>
              <w:tr2bl w:val="nil"/>
            </w:tcBorders>
            <w:noWrap w:val="0"/>
            <w:vAlign w:val="center"/>
          </w:tcPr>
          <w:p w14:paraId="558B652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6C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0C88462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c>
          <w:tcPr>
            <w:tcW w:w="1118" w:type="dxa"/>
            <w:tcBorders>
              <w:tl2br w:val="nil"/>
              <w:tr2bl w:val="nil"/>
            </w:tcBorders>
            <w:noWrap w:val="0"/>
            <w:vAlign w:val="center"/>
          </w:tcPr>
          <w:p w14:paraId="31C60D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用户满意度</w:t>
            </w:r>
          </w:p>
        </w:tc>
        <w:tc>
          <w:tcPr>
            <w:tcW w:w="774" w:type="dxa"/>
            <w:tcBorders>
              <w:tl2br w:val="nil"/>
              <w:tr2bl w:val="nil"/>
            </w:tcBorders>
            <w:noWrap w:val="0"/>
            <w:vAlign w:val="center"/>
          </w:tcPr>
          <w:p w14:paraId="0BEBB3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13" w:type="dxa"/>
            <w:gridSpan w:val="2"/>
            <w:tcBorders>
              <w:tl2br w:val="nil"/>
              <w:tr2bl w:val="nil"/>
            </w:tcBorders>
            <w:noWrap w:val="0"/>
            <w:vAlign w:val="center"/>
          </w:tcPr>
          <w:p w14:paraId="42E867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4E9CD21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90</w:t>
            </w:r>
          </w:p>
        </w:tc>
        <w:tc>
          <w:tcPr>
            <w:tcW w:w="877" w:type="dxa"/>
            <w:gridSpan w:val="2"/>
            <w:tcBorders>
              <w:tl2br w:val="nil"/>
              <w:tr2bl w:val="nil"/>
            </w:tcBorders>
            <w:noWrap w:val="0"/>
            <w:vAlign w:val="center"/>
          </w:tcPr>
          <w:p w14:paraId="4A19AD2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90</w:t>
            </w:r>
          </w:p>
        </w:tc>
        <w:tc>
          <w:tcPr>
            <w:tcW w:w="910" w:type="dxa"/>
            <w:tcBorders>
              <w:tl2br w:val="nil"/>
              <w:tr2bl w:val="nil"/>
            </w:tcBorders>
            <w:noWrap w:val="0"/>
            <w:vAlign w:val="center"/>
          </w:tcPr>
          <w:p w14:paraId="2A8A842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0</w:t>
            </w:r>
          </w:p>
        </w:tc>
        <w:tc>
          <w:tcPr>
            <w:tcW w:w="888" w:type="dxa"/>
            <w:tcBorders>
              <w:tl2br w:val="nil"/>
              <w:tr2bl w:val="nil"/>
            </w:tcBorders>
            <w:noWrap w:val="0"/>
            <w:vAlign w:val="center"/>
          </w:tcPr>
          <w:p w14:paraId="3F6A921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378B04E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r>
              <w:rPr>
                <w:rFonts w:hint="eastAsia" w:ascii="宋体" w:hAnsi="宋体" w:cs="方正仿宋_GBK"/>
                <w:color w:val="000000"/>
                <w:kern w:val="0"/>
                <w:sz w:val="24"/>
                <w:szCs w:val="24"/>
                <w:lang w:val="en-US" w:eastAsia="zh-CN"/>
              </w:rPr>
              <w:t>0</w:t>
            </w:r>
          </w:p>
        </w:tc>
        <w:tc>
          <w:tcPr>
            <w:tcW w:w="1094" w:type="dxa"/>
            <w:gridSpan w:val="2"/>
            <w:tcBorders>
              <w:tl2br w:val="nil"/>
              <w:tr2bl w:val="nil"/>
            </w:tcBorders>
            <w:noWrap w:val="0"/>
            <w:vAlign w:val="center"/>
          </w:tcPr>
          <w:p w14:paraId="501FCDF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r>
              <w:rPr>
                <w:rFonts w:hint="eastAsia" w:ascii="宋体" w:hAnsi="宋体" w:cs="方正仿宋_GBK"/>
                <w:color w:val="000000"/>
                <w:kern w:val="0"/>
                <w:sz w:val="24"/>
                <w:szCs w:val="24"/>
                <w:lang w:val="en-US" w:eastAsia="zh-CN"/>
              </w:rPr>
              <w:t>0</w:t>
            </w:r>
          </w:p>
        </w:tc>
        <w:tc>
          <w:tcPr>
            <w:tcW w:w="892" w:type="dxa"/>
            <w:tcBorders>
              <w:tl2br w:val="nil"/>
              <w:tr2bl w:val="nil"/>
            </w:tcBorders>
            <w:noWrap w:val="0"/>
            <w:vAlign w:val="center"/>
          </w:tcPr>
          <w:p w14:paraId="25EFDD9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01F4BF1A">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p w14:paraId="190B55FA">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120ACB8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本单位无此事项。</w:t>
      </w:r>
    </w:p>
    <w:p w14:paraId="180CE23F">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09F2666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无。</w:t>
      </w:r>
    </w:p>
    <w:p w14:paraId="58B2F30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26272A7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43DB4EA2">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仿宋_GBK" w:cs="方正仿宋_GBK"/>
          <w:sz w:val="32"/>
          <w:szCs w:val="32"/>
          <w:lang w:val="en-US" w:eastAsia="zh-CN"/>
        </w:rPr>
      </w:pPr>
      <w:r>
        <w:rPr>
          <w:rFonts w:hint="eastAsia" w:ascii="宋体" w:hAnsi="宋体" w:eastAsia="方正黑体_GBK" w:cs="方正黑体_GBK"/>
          <w:sz w:val="32"/>
          <w:szCs w:val="32"/>
        </w:rPr>
        <w:t>专业名词解释</w:t>
      </w:r>
    </w:p>
    <w:p w14:paraId="6730964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取得的财政拨款，包括一般公共预算财政拨款和政府性基金预算财政拨款。</w:t>
      </w:r>
    </w:p>
    <w:p w14:paraId="33126F8E">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6BB1649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以外的同级单位取得的经费、从非本级财政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取得的经费，以及行政单位收到的财政专户管理资金反映在本项内。</w:t>
      </w:r>
    </w:p>
    <w:p w14:paraId="6521FC4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3AA9C7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442811D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31C8DC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3997F1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2ADB8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23E8AF6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3675D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C6951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7CA2BE5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bookmarkStart w:id="0" w:name="_GoBack"/>
      <w:bookmarkEnd w:id="0"/>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1B79BEB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71176B15">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w:t>
      </w:r>
      <w:r>
        <w:rPr>
          <w:rFonts w:hint="eastAsia" w:ascii="宋体" w:hAnsi="宋体" w:cs="方正仿宋_GBK"/>
          <w:sz w:val="32"/>
          <w:szCs w:val="32"/>
          <w:lang w:eastAsia="zh-CN"/>
        </w:rPr>
        <w:t>单位</w:t>
      </w:r>
      <w:r>
        <w:rPr>
          <w:rFonts w:hint="eastAsia" w:ascii="宋体" w:hAnsi="宋体" w:eastAsia="方正仿宋_GBK" w:cs="方正仿宋_GBK"/>
          <w:sz w:val="32"/>
          <w:szCs w:val="32"/>
        </w:rPr>
        <w:t>集中安排的用于购置固定资产、战略性和应急性储备、土地和无形资产，以及构建基础设施、大型修缮和财政支持企业更新改造所发生的支出。</w:t>
      </w:r>
    </w:p>
    <w:p w14:paraId="2DC0BD7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48A5191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5C9AC09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联系人：苏杨</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联系电话：023-81222208</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B0F">
    <w:pPr>
      <w:pStyle w:val="3"/>
      <w:tabs>
        <w:tab w:val="right" w:pos="8307"/>
        <w:tab w:val="clear" w:pos="8306"/>
      </w:tabs>
      <w:ind w:right="320" w:rightChars="100"/>
      <w:jc w:val="right"/>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9807">
    <w:pPr>
      <w:pStyle w:val="3"/>
      <w:tabs>
        <w:tab w:val="right" w:pos="8307"/>
        <w:tab w:val="clear" w:pos="8306"/>
      </w:tabs>
      <w:ind w:left="320" w:leftChars="100"/>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395FE23"/>
    <w:multiLevelType w:val="singleLevel"/>
    <w:tmpl w:val="C395FE23"/>
    <w:lvl w:ilvl="0" w:tentative="0">
      <w:start w:val="1"/>
      <w:numFmt w:val="decimal"/>
      <w:suff w:val="nothing"/>
      <w:lvlText w:val="（%1）"/>
      <w:lvlJc w:val="left"/>
    </w:lvl>
  </w:abstractNum>
  <w:abstractNum w:abstractNumId="3">
    <w:nsid w:val="C7DC43F0"/>
    <w:multiLevelType w:val="singleLevel"/>
    <w:tmpl w:val="C7DC43F0"/>
    <w:lvl w:ilvl="0" w:tentative="0">
      <w:start w:val="1"/>
      <w:numFmt w:val="decimal"/>
      <w:suff w:val="space"/>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1FA65AD"/>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607386"/>
    <w:rsid w:val="08A234FA"/>
    <w:rsid w:val="08B33959"/>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39045D"/>
    <w:rsid w:val="0E5158C5"/>
    <w:rsid w:val="0EA66A76"/>
    <w:rsid w:val="0EAD6E68"/>
    <w:rsid w:val="0EB15612"/>
    <w:rsid w:val="0ECF621B"/>
    <w:rsid w:val="0EFB5876"/>
    <w:rsid w:val="0F107EE3"/>
    <w:rsid w:val="0F2A4845"/>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687563"/>
    <w:rsid w:val="12AD3E7D"/>
    <w:rsid w:val="12C42FA0"/>
    <w:rsid w:val="12C7072D"/>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A11295"/>
    <w:rsid w:val="170830C2"/>
    <w:rsid w:val="17532A55"/>
    <w:rsid w:val="17932EDC"/>
    <w:rsid w:val="17A36DDB"/>
    <w:rsid w:val="17A532AB"/>
    <w:rsid w:val="180B07AE"/>
    <w:rsid w:val="181A2360"/>
    <w:rsid w:val="181F4708"/>
    <w:rsid w:val="18221462"/>
    <w:rsid w:val="184F1121"/>
    <w:rsid w:val="185B2A86"/>
    <w:rsid w:val="18C66253"/>
    <w:rsid w:val="18CD5743"/>
    <w:rsid w:val="19616ABA"/>
    <w:rsid w:val="197B50D2"/>
    <w:rsid w:val="19926875"/>
    <w:rsid w:val="19BE3F0C"/>
    <w:rsid w:val="19EC0A79"/>
    <w:rsid w:val="1A297DDD"/>
    <w:rsid w:val="1A7919B9"/>
    <w:rsid w:val="1AD35C64"/>
    <w:rsid w:val="1AD5150D"/>
    <w:rsid w:val="1AF5570C"/>
    <w:rsid w:val="1B1350D9"/>
    <w:rsid w:val="1B866CAC"/>
    <w:rsid w:val="1B9A7C0E"/>
    <w:rsid w:val="1B9B203B"/>
    <w:rsid w:val="1BFD1CC9"/>
    <w:rsid w:val="1C96385A"/>
    <w:rsid w:val="1CE92F5C"/>
    <w:rsid w:val="1D437979"/>
    <w:rsid w:val="1D4708B1"/>
    <w:rsid w:val="1D656164"/>
    <w:rsid w:val="1E312EFF"/>
    <w:rsid w:val="1E8900BD"/>
    <w:rsid w:val="1ECB269E"/>
    <w:rsid w:val="1EE66C3C"/>
    <w:rsid w:val="1EF96BEA"/>
    <w:rsid w:val="1F002D16"/>
    <w:rsid w:val="1F116510"/>
    <w:rsid w:val="1F1C3B7B"/>
    <w:rsid w:val="200551AB"/>
    <w:rsid w:val="205932DE"/>
    <w:rsid w:val="20A03801"/>
    <w:rsid w:val="20BC5FF2"/>
    <w:rsid w:val="217730F7"/>
    <w:rsid w:val="219D4F8D"/>
    <w:rsid w:val="222807B1"/>
    <w:rsid w:val="22372AAE"/>
    <w:rsid w:val="22435D4E"/>
    <w:rsid w:val="2245419D"/>
    <w:rsid w:val="22FE317D"/>
    <w:rsid w:val="237704D4"/>
    <w:rsid w:val="23891077"/>
    <w:rsid w:val="23A1558C"/>
    <w:rsid w:val="23BE50B1"/>
    <w:rsid w:val="23D83E1C"/>
    <w:rsid w:val="2422161E"/>
    <w:rsid w:val="246E6851"/>
    <w:rsid w:val="24942E5E"/>
    <w:rsid w:val="24954F65"/>
    <w:rsid w:val="24C7511E"/>
    <w:rsid w:val="257F04AC"/>
    <w:rsid w:val="25E53B95"/>
    <w:rsid w:val="25EB17AB"/>
    <w:rsid w:val="25F67018"/>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06D19"/>
    <w:rsid w:val="287F60B2"/>
    <w:rsid w:val="29696297"/>
    <w:rsid w:val="297011FE"/>
    <w:rsid w:val="29F90436"/>
    <w:rsid w:val="29FF1B5A"/>
    <w:rsid w:val="2A254E63"/>
    <w:rsid w:val="2A275D31"/>
    <w:rsid w:val="2AE168E0"/>
    <w:rsid w:val="2B2F33CE"/>
    <w:rsid w:val="2B762790"/>
    <w:rsid w:val="2B786611"/>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959A0"/>
    <w:rsid w:val="2E2A738E"/>
    <w:rsid w:val="2E4A0CBE"/>
    <w:rsid w:val="2EAB46F5"/>
    <w:rsid w:val="2EC6420A"/>
    <w:rsid w:val="2EE8585B"/>
    <w:rsid w:val="2EF3059D"/>
    <w:rsid w:val="2EFA733D"/>
    <w:rsid w:val="2F1C3DF2"/>
    <w:rsid w:val="2F1C4D7A"/>
    <w:rsid w:val="2F2C0A85"/>
    <w:rsid w:val="2F414FFF"/>
    <w:rsid w:val="2F8D5831"/>
    <w:rsid w:val="2FA6445E"/>
    <w:rsid w:val="2FAC25DB"/>
    <w:rsid w:val="2FAF3097"/>
    <w:rsid w:val="2FB617C0"/>
    <w:rsid w:val="2FC260AC"/>
    <w:rsid w:val="3005243D"/>
    <w:rsid w:val="300C6664"/>
    <w:rsid w:val="30450B4E"/>
    <w:rsid w:val="30465275"/>
    <w:rsid w:val="31061102"/>
    <w:rsid w:val="31A04CAD"/>
    <w:rsid w:val="31A70211"/>
    <w:rsid w:val="31B15053"/>
    <w:rsid w:val="31FB3AF8"/>
    <w:rsid w:val="320A79AF"/>
    <w:rsid w:val="3256082B"/>
    <w:rsid w:val="327D7E69"/>
    <w:rsid w:val="32826152"/>
    <w:rsid w:val="32EC51EE"/>
    <w:rsid w:val="33116010"/>
    <w:rsid w:val="331546C4"/>
    <w:rsid w:val="331C5AD4"/>
    <w:rsid w:val="333F5C66"/>
    <w:rsid w:val="33656AA9"/>
    <w:rsid w:val="33782EB9"/>
    <w:rsid w:val="33955886"/>
    <w:rsid w:val="33A16094"/>
    <w:rsid w:val="33E6234B"/>
    <w:rsid w:val="33F80618"/>
    <w:rsid w:val="340E49EF"/>
    <w:rsid w:val="3465554A"/>
    <w:rsid w:val="34983DE3"/>
    <w:rsid w:val="34A64D07"/>
    <w:rsid w:val="34AA710F"/>
    <w:rsid w:val="34B10AAC"/>
    <w:rsid w:val="34BF6C35"/>
    <w:rsid w:val="34F5635F"/>
    <w:rsid w:val="354811BC"/>
    <w:rsid w:val="35521A2B"/>
    <w:rsid w:val="355E472E"/>
    <w:rsid w:val="359E40E8"/>
    <w:rsid w:val="35C22B6B"/>
    <w:rsid w:val="35D5640E"/>
    <w:rsid w:val="35EA737B"/>
    <w:rsid w:val="36706ADF"/>
    <w:rsid w:val="36833C5C"/>
    <w:rsid w:val="36A129F2"/>
    <w:rsid w:val="36B3095D"/>
    <w:rsid w:val="36D22597"/>
    <w:rsid w:val="371719A6"/>
    <w:rsid w:val="371E35B2"/>
    <w:rsid w:val="37564D03"/>
    <w:rsid w:val="37751EC2"/>
    <w:rsid w:val="37C77C1E"/>
    <w:rsid w:val="388010B8"/>
    <w:rsid w:val="38FA6DBA"/>
    <w:rsid w:val="390E5CB1"/>
    <w:rsid w:val="393671C3"/>
    <w:rsid w:val="39474657"/>
    <w:rsid w:val="394E2214"/>
    <w:rsid w:val="399A1E48"/>
    <w:rsid w:val="39A10C32"/>
    <w:rsid w:val="39B527DE"/>
    <w:rsid w:val="39CC7911"/>
    <w:rsid w:val="39E44839"/>
    <w:rsid w:val="3A457B72"/>
    <w:rsid w:val="3A4A2286"/>
    <w:rsid w:val="3AA6726B"/>
    <w:rsid w:val="3AE82075"/>
    <w:rsid w:val="3B017FBE"/>
    <w:rsid w:val="3B223EA3"/>
    <w:rsid w:val="3B307A72"/>
    <w:rsid w:val="3B567FF1"/>
    <w:rsid w:val="3B5F0C53"/>
    <w:rsid w:val="3B9335A4"/>
    <w:rsid w:val="3B992613"/>
    <w:rsid w:val="3BB24F73"/>
    <w:rsid w:val="3BCD490E"/>
    <w:rsid w:val="3BDB6726"/>
    <w:rsid w:val="3C056780"/>
    <w:rsid w:val="3C0B3B20"/>
    <w:rsid w:val="3C1860E9"/>
    <w:rsid w:val="3C265FAB"/>
    <w:rsid w:val="3C45620B"/>
    <w:rsid w:val="3C7249B6"/>
    <w:rsid w:val="3D4C16AB"/>
    <w:rsid w:val="3D7312A1"/>
    <w:rsid w:val="3D8F2FFE"/>
    <w:rsid w:val="3D8F779B"/>
    <w:rsid w:val="3DB31849"/>
    <w:rsid w:val="3E15702B"/>
    <w:rsid w:val="3E247857"/>
    <w:rsid w:val="3E5C76CC"/>
    <w:rsid w:val="3E984240"/>
    <w:rsid w:val="3EAD34C3"/>
    <w:rsid w:val="3EBE7C37"/>
    <w:rsid w:val="3F120426"/>
    <w:rsid w:val="3F1976B6"/>
    <w:rsid w:val="3F3B3785"/>
    <w:rsid w:val="3F5E6431"/>
    <w:rsid w:val="3F8C0907"/>
    <w:rsid w:val="3F9B5E29"/>
    <w:rsid w:val="3FC03C8B"/>
    <w:rsid w:val="400454FD"/>
    <w:rsid w:val="40552C1F"/>
    <w:rsid w:val="4057229F"/>
    <w:rsid w:val="405F7DEE"/>
    <w:rsid w:val="40992FB0"/>
    <w:rsid w:val="40DB7824"/>
    <w:rsid w:val="410115DD"/>
    <w:rsid w:val="41032081"/>
    <w:rsid w:val="411029F0"/>
    <w:rsid w:val="4148218A"/>
    <w:rsid w:val="418A21AD"/>
    <w:rsid w:val="41A212A1"/>
    <w:rsid w:val="41D1217F"/>
    <w:rsid w:val="41EC42BB"/>
    <w:rsid w:val="4239228E"/>
    <w:rsid w:val="428A1304"/>
    <w:rsid w:val="42E44C98"/>
    <w:rsid w:val="43087E22"/>
    <w:rsid w:val="431B6113"/>
    <w:rsid w:val="438834DF"/>
    <w:rsid w:val="43A20A3C"/>
    <w:rsid w:val="440B4462"/>
    <w:rsid w:val="444C66C3"/>
    <w:rsid w:val="44630F9F"/>
    <w:rsid w:val="446A3603"/>
    <w:rsid w:val="451F1453"/>
    <w:rsid w:val="458B573C"/>
    <w:rsid w:val="45CE60A3"/>
    <w:rsid w:val="461C57E1"/>
    <w:rsid w:val="46236D2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E56510"/>
    <w:rsid w:val="4901682D"/>
    <w:rsid w:val="491F1E3E"/>
    <w:rsid w:val="497E4D40"/>
    <w:rsid w:val="49804BB7"/>
    <w:rsid w:val="498D6EB3"/>
    <w:rsid w:val="49A14844"/>
    <w:rsid w:val="4A38329E"/>
    <w:rsid w:val="4A5D0A54"/>
    <w:rsid w:val="4A6E2C61"/>
    <w:rsid w:val="4A786E7C"/>
    <w:rsid w:val="4A812037"/>
    <w:rsid w:val="4ABF0429"/>
    <w:rsid w:val="4B05514E"/>
    <w:rsid w:val="4B7D224D"/>
    <w:rsid w:val="4B88354F"/>
    <w:rsid w:val="4B897577"/>
    <w:rsid w:val="4BA739F3"/>
    <w:rsid w:val="4BAA41B4"/>
    <w:rsid w:val="4BCA5B3F"/>
    <w:rsid w:val="4BCB2F27"/>
    <w:rsid w:val="4BEF3793"/>
    <w:rsid w:val="4BF4339D"/>
    <w:rsid w:val="4C8B29AF"/>
    <w:rsid w:val="4C995F8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9D1D67"/>
    <w:rsid w:val="4EDE5EDB"/>
    <w:rsid w:val="4EF42EFE"/>
    <w:rsid w:val="4F147B4F"/>
    <w:rsid w:val="4FDE358A"/>
    <w:rsid w:val="501832A3"/>
    <w:rsid w:val="50632B28"/>
    <w:rsid w:val="5079410E"/>
    <w:rsid w:val="50C63B0F"/>
    <w:rsid w:val="50D13F4A"/>
    <w:rsid w:val="50F36C04"/>
    <w:rsid w:val="51011AC0"/>
    <w:rsid w:val="51086CD3"/>
    <w:rsid w:val="511B035E"/>
    <w:rsid w:val="512B6610"/>
    <w:rsid w:val="517A3160"/>
    <w:rsid w:val="51D53FD0"/>
    <w:rsid w:val="52701540"/>
    <w:rsid w:val="527F0375"/>
    <w:rsid w:val="528D4348"/>
    <w:rsid w:val="52BF3EA5"/>
    <w:rsid w:val="52E5462F"/>
    <w:rsid w:val="53030193"/>
    <w:rsid w:val="531427EC"/>
    <w:rsid w:val="531C785E"/>
    <w:rsid w:val="533770C8"/>
    <w:rsid w:val="5338243A"/>
    <w:rsid w:val="53964FD7"/>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5F3226C"/>
    <w:rsid w:val="560E70A6"/>
    <w:rsid w:val="564C33E3"/>
    <w:rsid w:val="565A5E3A"/>
    <w:rsid w:val="56AA311A"/>
    <w:rsid w:val="56B357D4"/>
    <w:rsid w:val="56F40992"/>
    <w:rsid w:val="576B630C"/>
    <w:rsid w:val="57707A82"/>
    <w:rsid w:val="57906076"/>
    <w:rsid w:val="57CE2F91"/>
    <w:rsid w:val="57F77E8D"/>
    <w:rsid w:val="584101D8"/>
    <w:rsid w:val="584366A5"/>
    <w:rsid w:val="58464AEC"/>
    <w:rsid w:val="58D37D03"/>
    <w:rsid w:val="58F80B81"/>
    <w:rsid w:val="59171D29"/>
    <w:rsid w:val="594B64BC"/>
    <w:rsid w:val="59C1394B"/>
    <w:rsid w:val="59E4333B"/>
    <w:rsid w:val="5A146C55"/>
    <w:rsid w:val="5A327175"/>
    <w:rsid w:val="5A3F06AB"/>
    <w:rsid w:val="5A461F67"/>
    <w:rsid w:val="5A4D12DB"/>
    <w:rsid w:val="5AA95942"/>
    <w:rsid w:val="5B9A1A90"/>
    <w:rsid w:val="5BEA616D"/>
    <w:rsid w:val="5C620610"/>
    <w:rsid w:val="5C7C27CC"/>
    <w:rsid w:val="5C8E6646"/>
    <w:rsid w:val="5CA1473C"/>
    <w:rsid w:val="5D0631CD"/>
    <w:rsid w:val="5D700646"/>
    <w:rsid w:val="5D743AF2"/>
    <w:rsid w:val="5D784DB7"/>
    <w:rsid w:val="5D804113"/>
    <w:rsid w:val="5D86298B"/>
    <w:rsid w:val="5DF574B1"/>
    <w:rsid w:val="5DFB2606"/>
    <w:rsid w:val="5E01598A"/>
    <w:rsid w:val="5E0518AE"/>
    <w:rsid w:val="5E7319C7"/>
    <w:rsid w:val="5F3F14B1"/>
    <w:rsid w:val="5F4A1944"/>
    <w:rsid w:val="5F585836"/>
    <w:rsid w:val="5F736A1C"/>
    <w:rsid w:val="5F7A755A"/>
    <w:rsid w:val="5F7C1524"/>
    <w:rsid w:val="61431576"/>
    <w:rsid w:val="61B07674"/>
    <w:rsid w:val="61D16983"/>
    <w:rsid w:val="63B16DA6"/>
    <w:rsid w:val="63FF0976"/>
    <w:rsid w:val="640F6E0B"/>
    <w:rsid w:val="642163B9"/>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8F640F6"/>
    <w:rsid w:val="690F3CAF"/>
    <w:rsid w:val="6A0C28CE"/>
    <w:rsid w:val="6A650A4D"/>
    <w:rsid w:val="6B7060C6"/>
    <w:rsid w:val="6BCA2D65"/>
    <w:rsid w:val="6C60029B"/>
    <w:rsid w:val="6C6E6699"/>
    <w:rsid w:val="6C927168"/>
    <w:rsid w:val="6CAE7E6D"/>
    <w:rsid w:val="6D635AD2"/>
    <w:rsid w:val="6D8C5247"/>
    <w:rsid w:val="6E904287"/>
    <w:rsid w:val="6E9F0D8B"/>
    <w:rsid w:val="6EA83056"/>
    <w:rsid w:val="6EB55F1D"/>
    <w:rsid w:val="6EBE51FD"/>
    <w:rsid w:val="6EF364B6"/>
    <w:rsid w:val="6F2540A9"/>
    <w:rsid w:val="700B56BF"/>
    <w:rsid w:val="700F5C73"/>
    <w:rsid w:val="70817FC6"/>
    <w:rsid w:val="70AF0E0B"/>
    <w:rsid w:val="70C87CAA"/>
    <w:rsid w:val="70CF179B"/>
    <w:rsid w:val="71573B9F"/>
    <w:rsid w:val="71723BF8"/>
    <w:rsid w:val="71B459C5"/>
    <w:rsid w:val="71CB4143"/>
    <w:rsid w:val="72035AD5"/>
    <w:rsid w:val="721C092E"/>
    <w:rsid w:val="723D7934"/>
    <w:rsid w:val="727266B8"/>
    <w:rsid w:val="72804A5F"/>
    <w:rsid w:val="72C81D24"/>
    <w:rsid w:val="73075151"/>
    <w:rsid w:val="73510736"/>
    <w:rsid w:val="73772C48"/>
    <w:rsid w:val="73B34B68"/>
    <w:rsid w:val="73C87749"/>
    <w:rsid w:val="73CE6808"/>
    <w:rsid w:val="73E55492"/>
    <w:rsid w:val="742D20BE"/>
    <w:rsid w:val="74300B51"/>
    <w:rsid w:val="74373E1F"/>
    <w:rsid w:val="74557B08"/>
    <w:rsid w:val="745909D3"/>
    <w:rsid w:val="74757604"/>
    <w:rsid w:val="74D15A17"/>
    <w:rsid w:val="751524A3"/>
    <w:rsid w:val="756026FD"/>
    <w:rsid w:val="757027FD"/>
    <w:rsid w:val="762322A2"/>
    <w:rsid w:val="764C7835"/>
    <w:rsid w:val="76606237"/>
    <w:rsid w:val="76BC0040"/>
    <w:rsid w:val="76DF08BF"/>
    <w:rsid w:val="76E97240"/>
    <w:rsid w:val="77547F95"/>
    <w:rsid w:val="77581BDC"/>
    <w:rsid w:val="77DF77F2"/>
    <w:rsid w:val="77F53FBA"/>
    <w:rsid w:val="77FE3901"/>
    <w:rsid w:val="78A056D5"/>
    <w:rsid w:val="78B612F9"/>
    <w:rsid w:val="78B86F01"/>
    <w:rsid w:val="78BD180A"/>
    <w:rsid w:val="78BD2213"/>
    <w:rsid w:val="78CA62AD"/>
    <w:rsid w:val="79383F91"/>
    <w:rsid w:val="796C56F2"/>
    <w:rsid w:val="79B55907"/>
    <w:rsid w:val="79DA4CD9"/>
    <w:rsid w:val="79DC3C10"/>
    <w:rsid w:val="79F32D29"/>
    <w:rsid w:val="7A170370"/>
    <w:rsid w:val="7A3031E0"/>
    <w:rsid w:val="7A5F3AF6"/>
    <w:rsid w:val="7A640644"/>
    <w:rsid w:val="7A66765A"/>
    <w:rsid w:val="7AB07AB2"/>
    <w:rsid w:val="7ACD6C80"/>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91110"/>
    <w:rsid w:val="7E8E73EF"/>
    <w:rsid w:val="7EF23A73"/>
    <w:rsid w:val="7F4A4D4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4104</Words>
  <Characters>4521</Characters>
  <Lines>16</Lines>
  <Paragraphs>4</Paragraphs>
  <TotalTime>340</TotalTime>
  <ScaleCrop>false</ScaleCrop>
  <LinksUpToDate>false</LinksUpToDate>
  <CharactersWithSpaces>4525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苏杨</cp:lastModifiedBy>
  <cp:lastPrinted>2025-08-15T07:22:15Z</cp:lastPrinted>
  <dcterms:modified xsi:type="dcterms:W3CDTF">2025-08-15T07:23:31Z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F5B52AF5D2954A4D9EFFA6EC99D4461B_13</vt:lpwstr>
  </property>
  <property fmtid="{D5CDD505-2E9C-101B-9397-08002B2CF9AE}" pid="4" name="KSOTemplateDocerSaveRecord">
    <vt:lpwstr>eyJoZGlkIjoiNTc1MmMyNjk4Y2U3MzA1MTFkYTM5MTliYTE2MzRiOTEiLCJ1c2VySWQiOiI3NzYzMDk0NzgifQ==</vt:lpwstr>
  </property>
</Properties>
</file>