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41B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重庆市江津区</w:t>
      </w:r>
      <w:r>
        <w:rPr>
          <w:rFonts w:hint="eastAsia" w:ascii="方正小标宋_GBK" w:hAnsi="方正小标宋_GBK" w:eastAsia="方正小标宋_GBK" w:cs="方正小标宋_GBK"/>
          <w:sz w:val="44"/>
          <w:szCs w:val="44"/>
          <w:lang w:val="en-US" w:eastAsia="zh-CN"/>
        </w:rPr>
        <w:t>电子政务服务中心</w:t>
      </w:r>
    </w:p>
    <w:p w14:paraId="2F46E08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决算公开说明</w:t>
      </w:r>
    </w:p>
    <w:p w14:paraId="0E7714F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14:paraId="019E17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单位</w:t>
      </w:r>
      <w:r>
        <w:rPr>
          <w:rFonts w:hint="eastAsia" w:ascii="方正黑体_GBK" w:hAnsi="方正黑体_GBK" w:eastAsia="方正黑体_GBK" w:cs="方正黑体_GBK"/>
          <w:sz w:val="32"/>
          <w:szCs w:val="32"/>
        </w:rPr>
        <w:t>基本情况</w:t>
      </w:r>
    </w:p>
    <w:p w14:paraId="3FED75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472E7C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电子政务服务中心的职能职责：1.负责全区政府系统相关电子政务发展的规划、协调和指导。2.负责全区电子政务外网网络的建设和日常管理工作；负责区政府门户网站的建设和日常管理工作。3.负责区政府电子政务中心机房的建设和日常管理工作；负责全区政府系统政务机房的集约化建设和日常管理工作。4.负责全区政务信息资源的统筹规划、协调、管理工作。负责全区政务共享应用平台的建设和日常管理工作。5.负责对各镇（街）、政府各部门电子政务项目建设的审批工作，并进行业务指导。6.负责区政府信息公开平台的建设和维护工作。7.负责区政府办公室电子政务的建设和日常管理工作。8.承办行政主管部门交办的其他任务。</w:t>
      </w:r>
    </w:p>
    <w:p w14:paraId="5C5C72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单位构成</w:t>
      </w:r>
    </w:p>
    <w:p w14:paraId="6CE844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重庆市江津区电子政务服务中心为重庆市江津区政务服务管理办公室所属正科级全额拨款事业单位，无内设机构。</w:t>
      </w:r>
    </w:p>
    <w:p w14:paraId="686F45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w:t>
      </w:r>
    </w:p>
    <w:p w14:paraId="2083E2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（一）部门收支总体情况</w:t>
      </w:r>
    </w:p>
    <w:p w14:paraId="0163DD0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1.收入支出总体情况。</w:t>
      </w:r>
      <w:r>
        <w:rPr>
          <w:rFonts w:hint="eastAsia" w:ascii="方正仿宋_GBK" w:hAnsi="方正仿宋_GBK" w:eastAsia="方正仿宋_GBK" w:cs="方正仿宋_GBK"/>
          <w:b w:val="0"/>
          <w:bCs w:val="0"/>
          <w:sz w:val="32"/>
          <w:szCs w:val="32"/>
        </w:rPr>
        <w:t>2023年度收入总计291.22万元，支出总计291.22万元。收支较上年决算数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w:t>
      </w:r>
      <w:r>
        <w:rPr>
          <w:rFonts w:hint="eastAsia" w:ascii="方正仿宋_GBK" w:hAnsi="方正仿宋_GBK" w:eastAsia="方正仿宋_GBK" w:cs="方正仿宋_GBK"/>
          <w:b w:val="0"/>
          <w:bCs w:val="0"/>
          <w:sz w:val="32"/>
          <w:szCs w:val="32"/>
          <w:lang w:eastAsia="zh-CN"/>
        </w:rPr>
        <w:t>。</w:t>
      </w:r>
    </w:p>
    <w:p w14:paraId="1D744EF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rPr>
        <w:t>2023年度收入合计291.22万元，较上年决算数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其中：财政拨款收入291.22万元，占100.00%；事业收入0.00万元，占0.00%；经营收入0.00万元，占0.00%；其他收入0.00万元，占0.00%。此外，使用非财政拨款结余和专用结余0.00万元，年初结转和结余0.00万元。</w:t>
      </w:r>
    </w:p>
    <w:p w14:paraId="5B751B9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rPr>
        <w:t>。2023年度支出合计291.22万元，较上年决算数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其中：基本支出234.50万元，占80.52%；项目支出56.72万元，占19.48%；经营支出0.00万元，占0.00%。此外，结余分配0.00万元</w:t>
      </w:r>
    </w:p>
    <w:p w14:paraId="70AAF8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。2023年度年末结转和结余0.00万元，较上年决算数无增减。</w:t>
      </w:r>
    </w:p>
    <w:p w14:paraId="47A28F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（二）财政拨款收支总体情况</w:t>
      </w:r>
    </w:p>
    <w:p w14:paraId="7E3E40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度财政拨款收、支总计291.22万元。与2022年相比，财政拨款收、支总计各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w:t>
      </w:r>
    </w:p>
    <w:p w14:paraId="1193EB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（三）一般公共预算财政拨款收支总体情况</w:t>
      </w:r>
    </w:p>
    <w:p w14:paraId="07C5C10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b w:val="0"/>
          <w:bCs w:val="0"/>
          <w:sz w:val="32"/>
          <w:szCs w:val="32"/>
        </w:rPr>
        <w:t>2023年度一般公共预算财政拨款收入291.22万元，较上年决算数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较年初预算数增加0.82万元，增长0.28%。主要原因是</w:t>
      </w:r>
      <w:r>
        <w:rPr>
          <w:rFonts w:hint="eastAsia" w:ascii="方正仿宋_GBK" w:hAnsi="方正仿宋_GBK" w:eastAsia="方正仿宋_GBK" w:cs="方正仿宋_GBK"/>
          <w:b w:val="0"/>
          <w:bCs w:val="0"/>
          <w:sz w:val="32"/>
          <w:szCs w:val="32"/>
          <w:lang w:val="en-US" w:eastAsia="zh-CN"/>
        </w:rPr>
        <w:t>人员晋升追加人员经费</w:t>
      </w:r>
      <w:r>
        <w:rPr>
          <w:rFonts w:hint="eastAsia" w:ascii="方正仿宋_GBK" w:hAnsi="方正仿宋_GBK" w:eastAsia="方正仿宋_GBK" w:cs="方正仿宋_GBK"/>
          <w:b w:val="0"/>
          <w:bCs w:val="0"/>
          <w:sz w:val="32"/>
          <w:szCs w:val="32"/>
        </w:rPr>
        <w:t>。此外，年初财政拨款结转和结余0.00万元。</w:t>
      </w:r>
    </w:p>
    <w:p w14:paraId="2A8735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b/>
          <w:bCs/>
          <w:sz w:val="32"/>
          <w:szCs w:val="32"/>
        </w:rPr>
        <w:t>支出情况</w:t>
      </w:r>
      <w:r>
        <w:rPr>
          <w:rFonts w:hint="eastAsia" w:ascii="方正仿宋_GBK" w:hAnsi="方正仿宋_GBK" w:eastAsia="方正仿宋_GBK" w:cs="方正仿宋_GBK"/>
          <w:sz w:val="32"/>
          <w:szCs w:val="32"/>
        </w:rPr>
        <w:t>。2023年度一般公共预算财政拨款支出291.22万元，较上年决算数减少125.65万元，下降30.14%。主要原因是事业人员超额绩效较2022年增加，且增加驻村帮扶生活补助，相应基本支出增加20.8万元；2022年有三个一次性项目电子政务外网移动办公系统网络设备购置、电子政务中心机房设备更换、江津区电子政务顶层设计服务费，所以2023年项目支出减少146.46万元，相应本年支出减少。较年初预算数增加0.82万元，增长0.28%。主要原因是人员晋升追加人员经费。</w:t>
      </w:r>
    </w:p>
    <w:p w14:paraId="53BDFA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。2023年度年末一般公共预算财政拨款结转和结余0.00万元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较上年决算数无增减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中心无年末结转结余资金</w:t>
      </w:r>
      <w:r>
        <w:rPr>
          <w:rFonts w:hint="eastAsia" w:ascii="方正仿宋_GBK" w:hAnsi="方正仿宋_GBK" w:eastAsia="方正仿宋_GBK" w:cs="方正仿宋_GBK"/>
          <w:sz w:val="32"/>
          <w:szCs w:val="32"/>
        </w:rPr>
        <w:t>。</w:t>
      </w:r>
    </w:p>
    <w:p w14:paraId="3DFCCB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w:t>
      </w:r>
      <w:r>
        <w:rPr>
          <w:rFonts w:hint="eastAsia" w:ascii="方正仿宋_GBK" w:hAnsi="方正仿宋_GBK" w:eastAsia="方正仿宋_GBK" w:cs="方正仿宋_GBK"/>
          <w:b/>
          <w:bCs/>
          <w:sz w:val="32"/>
          <w:szCs w:val="32"/>
        </w:rPr>
        <w:t>比较情况</w:t>
      </w:r>
      <w:r>
        <w:rPr>
          <w:rFonts w:hint="eastAsia" w:ascii="方正仿宋_GBK" w:hAnsi="方正仿宋_GBK" w:eastAsia="方正仿宋_GBK" w:cs="方正仿宋_GBK"/>
          <w:sz w:val="32"/>
          <w:szCs w:val="32"/>
        </w:rPr>
        <w:t>。本部门2023年度一般公共预算财政拨款支出主要用于以下几个方面：</w:t>
      </w:r>
    </w:p>
    <w:p w14:paraId="402FF2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（1）一般公共服务支出249.59万元，占85.70%，较年初预算数增加0.83万元，增长0.33%，主要原因是</w:t>
      </w:r>
      <w:r>
        <w:rPr>
          <w:rFonts w:hint="eastAsia" w:ascii="方正仿宋_GBK" w:hAnsi="方正仿宋_GBK" w:eastAsia="方正仿宋_GBK" w:cs="方正仿宋_GBK"/>
          <w:sz w:val="32"/>
          <w:szCs w:val="32"/>
          <w:lang w:val="en-US" w:eastAsia="zh-CN"/>
        </w:rPr>
        <w:t>人员晋升增加人员经费</w:t>
      </w:r>
      <w:r>
        <w:rPr>
          <w:rFonts w:hint="eastAsia" w:ascii="方正仿宋_GBK" w:hAnsi="方正仿宋_GBK" w:eastAsia="方正仿宋_GBK" w:cs="方正仿宋_GBK"/>
          <w:sz w:val="32"/>
          <w:szCs w:val="32"/>
          <w:lang w:eastAsia="zh-CN"/>
        </w:rPr>
        <w:t>。</w:t>
      </w:r>
    </w:p>
    <w:p w14:paraId="54A85E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）教育支出1.20万元，占0.41%，较年初预算数无增减，主要原因是</w:t>
      </w:r>
      <w:r>
        <w:rPr>
          <w:rFonts w:hint="eastAsia" w:ascii="方正仿宋_GBK" w:hAnsi="方正仿宋_GBK" w:eastAsia="方正仿宋_GBK" w:cs="方正仿宋_GBK"/>
          <w:sz w:val="32"/>
          <w:szCs w:val="32"/>
          <w:lang w:val="en-US" w:eastAsia="zh-CN"/>
        </w:rPr>
        <w:t>与年初预算支出持平</w:t>
      </w:r>
      <w:r>
        <w:rPr>
          <w:rFonts w:hint="eastAsia" w:ascii="方正仿宋_GBK" w:hAnsi="方正仿宋_GBK" w:eastAsia="方正仿宋_GBK" w:cs="方正仿宋_GBK"/>
          <w:sz w:val="32"/>
          <w:szCs w:val="32"/>
        </w:rPr>
        <w:t>。</w:t>
      </w:r>
    </w:p>
    <w:p w14:paraId="63708D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）社会保障与就业支出19.17万元，占6.58%，较年初预算数无增减，主要原因是与年初预算支出持平</w:t>
      </w:r>
      <w:r>
        <w:rPr>
          <w:rFonts w:hint="eastAsia" w:ascii="方正仿宋_GBK" w:hAnsi="方正仿宋_GBK" w:eastAsia="方正仿宋_GBK" w:cs="方正仿宋_GBK"/>
          <w:sz w:val="32"/>
          <w:szCs w:val="32"/>
          <w:lang w:eastAsia="zh-CN"/>
        </w:rPr>
        <w:t>。</w:t>
      </w:r>
    </w:p>
    <w:p w14:paraId="21EA3E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）卫生健康支出11.68万元，占4.01%，较年初预算数无增减，主要原因是与年初预算支出持平</w:t>
      </w:r>
      <w:r>
        <w:rPr>
          <w:rFonts w:hint="eastAsia" w:ascii="方正仿宋_GBK" w:hAnsi="方正仿宋_GBK" w:eastAsia="方正仿宋_GBK" w:cs="方正仿宋_GBK"/>
          <w:sz w:val="32"/>
          <w:szCs w:val="32"/>
          <w:lang w:eastAsia="zh-CN"/>
        </w:rPr>
        <w:t>。</w:t>
      </w:r>
    </w:p>
    <w:p w14:paraId="36257E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）住房保障支出9.59万元，占3.29%，较年初预算数无增减，主要原因是与年初预算支出持平</w:t>
      </w:r>
      <w:r>
        <w:rPr>
          <w:rFonts w:hint="eastAsia" w:ascii="方正仿宋_GBK" w:hAnsi="方正仿宋_GBK" w:eastAsia="方正仿宋_GBK" w:cs="方正仿宋_GBK"/>
          <w:sz w:val="32"/>
          <w:szCs w:val="32"/>
          <w:lang w:eastAsia="zh-CN"/>
        </w:rPr>
        <w:t>。</w:t>
      </w:r>
    </w:p>
    <w:p w14:paraId="739E85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（四）一般公共预算财政拨款基本支出情况</w:t>
      </w:r>
    </w:p>
    <w:p w14:paraId="65CBEE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234.50万元。其中：人员经费200.77万元，较上年决算数增加22.65万元，增长12.72%，主要原因是事业人员超额绩效较2022年增加，增加2023年有一名事业人员参与乡村振兴驻村帮扶生活补助。人员经费用途主要包括基本工资、津贴补贴、</w:t>
      </w:r>
      <w:r>
        <w:rPr>
          <w:rFonts w:hint="eastAsia" w:ascii="方正仿宋_GBK" w:hAnsi="方正仿宋_GBK" w:eastAsia="方正仿宋_GBK" w:cs="方正仿宋_GBK"/>
          <w:sz w:val="32"/>
          <w:szCs w:val="32"/>
          <w:lang w:val="en-US" w:eastAsia="zh-CN"/>
        </w:rPr>
        <w:t>绩效奖励</w:t>
      </w:r>
      <w:r>
        <w:rPr>
          <w:rFonts w:hint="eastAsia" w:ascii="方正仿宋_GBK" w:hAnsi="方正仿宋_GBK" w:eastAsia="方正仿宋_GBK" w:cs="方正仿宋_GBK"/>
          <w:sz w:val="32"/>
          <w:szCs w:val="32"/>
        </w:rPr>
        <w:t>、机关事业单位基本养老保险缴费、职业年金缴费、社会保障缴费、住房公积金、其他工资福利支出等。公用经费33.73万元，较上年决算数减少1.85万元，下降5.20%，主要原因是</w:t>
      </w:r>
      <w:r>
        <w:rPr>
          <w:rFonts w:hint="eastAsia" w:ascii="方正仿宋_GBK" w:hAnsi="方正仿宋_GBK" w:eastAsia="方正仿宋_GBK" w:cs="方正仿宋_GBK"/>
          <w:sz w:val="32"/>
          <w:szCs w:val="32"/>
          <w:lang w:val="en-US" w:eastAsia="zh-CN"/>
        </w:rPr>
        <w:t>使用公用经费弥补人员经费</w:t>
      </w:r>
      <w:r>
        <w:rPr>
          <w:rFonts w:hint="eastAsia" w:ascii="方正仿宋_GBK" w:hAnsi="方正仿宋_GBK" w:eastAsia="方正仿宋_GBK" w:cs="方正仿宋_GBK"/>
          <w:sz w:val="32"/>
          <w:szCs w:val="32"/>
        </w:rPr>
        <w:t>。公用经费用途主要包括办公费、水费、电费、邮电费、差旅费、维修费、培训费、福利费、工会经费。</w:t>
      </w:r>
    </w:p>
    <w:p w14:paraId="782D3A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w:t>
      </w:r>
    </w:p>
    <w:p w14:paraId="4967D3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2023年度无政府性基金预算财政拨款收支。</w:t>
      </w:r>
    </w:p>
    <w:p w14:paraId="484186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w:t>
      </w:r>
    </w:p>
    <w:p w14:paraId="16481A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2023年度无国有资本经营预算财政拨款支出。</w:t>
      </w:r>
    </w:p>
    <w:p w14:paraId="0F11D4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w:t>
      </w:r>
    </w:p>
    <w:p w14:paraId="16A13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w:t>
      </w:r>
    </w:p>
    <w:p w14:paraId="3F622E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2023年度“三公”经费支出共计0.00万元，较年初预算数无增减，主要原因是认真贯彻落实中央八项规定精神，按照只减不增的要求从严控制“三公”经费。较上年支出数无增减，主要原因是</w:t>
      </w:r>
      <w:r>
        <w:rPr>
          <w:rFonts w:hint="eastAsia" w:ascii="方正仿宋_GBK" w:hAnsi="方正仿宋_GBK" w:eastAsia="方正仿宋_GBK" w:cs="方正仿宋_GBK"/>
          <w:sz w:val="32"/>
          <w:szCs w:val="32"/>
          <w:lang w:val="en-US" w:eastAsia="zh-CN"/>
        </w:rPr>
        <w:t>与上年支出持平。</w:t>
      </w:r>
    </w:p>
    <w:p w14:paraId="13C605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637477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因公出国（境）费用0.00万元，费用支出与年初预算数持平；与上年支出数持平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无因公出国（境）计划</w:t>
      </w:r>
      <w:r>
        <w:rPr>
          <w:rFonts w:hint="eastAsia" w:ascii="方正仿宋_GBK" w:hAnsi="方正仿宋_GBK" w:eastAsia="方正仿宋_GBK" w:cs="方正仿宋_GBK"/>
          <w:sz w:val="32"/>
          <w:szCs w:val="32"/>
        </w:rPr>
        <w:t>。</w:t>
      </w:r>
    </w:p>
    <w:p w14:paraId="1D748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无公务车购置计划</w:t>
      </w:r>
      <w:r>
        <w:rPr>
          <w:rFonts w:hint="eastAsia" w:ascii="方正仿宋_GBK" w:hAnsi="方正仿宋_GBK" w:eastAsia="方正仿宋_GBK" w:cs="方正仿宋_GBK"/>
          <w:sz w:val="32"/>
          <w:szCs w:val="32"/>
        </w:rPr>
        <w:t>。</w:t>
      </w:r>
    </w:p>
    <w:p w14:paraId="6D58EB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公务车运行维护费</w:t>
      </w:r>
      <w:r>
        <w:rPr>
          <w:rFonts w:hint="eastAsia" w:ascii="方正仿宋_GBK" w:hAnsi="方正仿宋_GBK" w:eastAsia="方正仿宋_GBK" w:cs="方正仿宋_GBK"/>
          <w:sz w:val="32"/>
          <w:szCs w:val="32"/>
          <w:lang w:val="en-US" w:eastAsia="zh-CN"/>
        </w:rPr>
        <w:t>0.00</w:t>
      </w:r>
      <w:r>
        <w:rPr>
          <w:rFonts w:hint="eastAsia" w:ascii="方正仿宋_GBK" w:hAnsi="方正仿宋_GBK" w:eastAsia="方正仿宋_GBK" w:cs="方正仿宋_GBK"/>
          <w:sz w:val="32"/>
          <w:szCs w:val="32"/>
        </w:rPr>
        <w:t>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主要原因是电子政务办无公务车。</w:t>
      </w:r>
    </w:p>
    <w:p w14:paraId="39C313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公务接待费0.00万元。费用支出与年初预算数持平；与上年支出数持平，主要原因是</w:t>
      </w:r>
      <w:r>
        <w:rPr>
          <w:rFonts w:hint="eastAsia" w:ascii="方正仿宋_GBK" w:hAnsi="方正仿宋_GBK" w:eastAsia="方正仿宋_GBK" w:cs="方正仿宋_GBK"/>
          <w:sz w:val="32"/>
          <w:szCs w:val="32"/>
          <w:lang w:val="en-US" w:eastAsia="zh-CN"/>
        </w:rPr>
        <w:t>由主管部门政务服务办负责接待</w:t>
      </w:r>
      <w:r>
        <w:rPr>
          <w:rFonts w:hint="eastAsia" w:ascii="方正仿宋_GBK" w:hAnsi="方正仿宋_GBK" w:eastAsia="方正仿宋_GBK" w:cs="方正仿宋_GBK"/>
          <w:sz w:val="32"/>
          <w:szCs w:val="32"/>
        </w:rPr>
        <w:t>。</w:t>
      </w:r>
    </w:p>
    <w:p w14:paraId="0282E4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3C87A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本部门因公出国（境）共计0个团组，0人；公务用车购置0辆，公务车保有量为0辆；国内公务接待0批次0人，其中：国内外事接待0批次，0人；国（境）外公务接待0批次，0人。2023年本部门人均接待费0元，车均购置费0万元，车均维护费0万元。</w:t>
      </w:r>
    </w:p>
    <w:p w14:paraId="35C5ED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173A4B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（一）机关运行经费情况</w:t>
      </w:r>
    </w:p>
    <w:p w14:paraId="73AAD3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按照部门决算列报口径，我单位不在机关运行经费统计范围之内</w:t>
      </w:r>
      <w:r>
        <w:rPr>
          <w:rFonts w:hint="eastAsia" w:ascii="方正仿宋_GBK" w:hAnsi="方正仿宋_GBK" w:eastAsia="方正仿宋_GBK" w:cs="方正仿宋_GBK"/>
          <w:sz w:val="32"/>
          <w:szCs w:val="32"/>
          <w:lang w:eastAsia="zh-CN"/>
        </w:rPr>
        <w:t>。</w:t>
      </w:r>
    </w:p>
    <w:p w14:paraId="7C69292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本年度会议费支出0.00万元，较上年决算数无增减，主要原因是</w:t>
      </w:r>
      <w:r>
        <w:rPr>
          <w:rFonts w:hint="eastAsia" w:ascii="方正仿宋_GBK" w:hAnsi="方正仿宋_GBK" w:eastAsia="方正仿宋_GBK" w:cs="方正仿宋_GBK"/>
          <w:sz w:val="32"/>
          <w:szCs w:val="32"/>
          <w:lang w:val="en-US" w:eastAsia="zh-CN"/>
        </w:rPr>
        <w:t>无会议安排</w:t>
      </w:r>
      <w:r>
        <w:rPr>
          <w:rFonts w:hint="eastAsia" w:ascii="方正仿宋_GBK" w:hAnsi="方正仿宋_GBK" w:eastAsia="方正仿宋_GBK" w:cs="方正仿宋_GBK"/>
          <w:sz w:val="32"/>
          <w:szCs w:val="32"/>
        </w:rPr>
        <w:t>。本年度培训费支出1.31万元，较上年决算数增加0.42万元，增长47.19%，主要原因是2023年党支部到湖南开展党员培训活动，2022年未到市外开展培训，培训费有所增加。</w:t>
      </w:r>
    </w:p>
    <w:p w14:paraId="139E43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）国有资产占用情况说明</w:t>
      </w:r>
    </w:p>
    <w:p w14:paraId="40DD99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70DFC6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）政府采购支出说明</w:t>
      </w:r>
    </w:p>
    <w:p w14:paraId="5BA608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p>
    <w:p w14:paraId="3FB2CA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w:t>
      </w:r>
    </w:p>
    <w:p w14:paraId="0EC45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65BAA9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w:t>
      </w:r>
      <w:r>
        <w:rPr>
          <w:rFonts w:hint="eastAsia" w:ascii="方正仿宋_GBK" w:hAnsi="方正仿宋_GBK" w:eastAsia="方正仿宋_GBK" w:cs="方正仿宋_GBK"/>
          <w:sz w:val="32"/>
          <w:szCs w:val="32"/>
          <w:lang w:val="en-US" w:eastAsia="zh-CN"/>
        </w:rPr>
        <w:t>办对2</w:t>
      </w:r>
      <w:r>
        <w:rPr>
          <w:rFonts w:hint="eastAsia" w:ascii="方正仿宋_GBK" w:hAnsi="方正仿宋_GBK" w:eastAsia="方正仿宋_GBK" w:cs="方正仿宋_GBK"/>
          <w:sz w:val="32"/>
          <w:szCs w:val="32"/>
        </w:rPr>
        <w:t>个项目开展了绩效自评，其中，以填报目标自评表形式开展自评</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56.72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13DCCE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3706E9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 xml:space="preserve"> 绩效目标自评表</w:t>
      </w:r>
    </w:p>
    <w:p w14:paraId="19F10D5D">
      <w:pPr>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2023年度项目绩效自评表</w:t>
      </w:r>
    </w:p>
    <w:tbl>
      <w:tblPr>
        <w:tblStyle w:val="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14:paraId="1F6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317FE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06BC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14:paraId="5ACCB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电子政务网络光纤租赁</w:t>
            </w:r>
          </w:p>
        </w:tc>
        <w:tc>
          <w:tcPr>
            <w:tcW w:w="1236" w:type="dxa"/>
            <w:gridSpan w:val="2"/>
            <w:tcBorders>
              <w:tl2br w:val="nil"/>
              <w:tr2bl w:val="nil"/>
            </w:tcBorders>
            <w:noWrap w:val="0"/>
            <w:vAlign w:val="center"/>
          </w:tcPr>
          <w:p w14:paraId="76DDB7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5364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6B79E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14:paraId="117DBB0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r>
              <w:rPr>
                <w:rFonts w:hint="eastAsia" w:ascii="宋体" w:hAnsi="宋体" w:eastAsia="方正仿宋_GBK" w:cs="方正仿宋_GBK"/>
                <w:color w:val="000000"/>
                <w:kern w:val="0"/>
                <w:sz w:val="24"/>
                <w:szCs w:val="24"/>
              </w:rPr>
              <w:tab/>
            </w:r>
          </w:p>
        </w:tc>
      </w:tr>
      <w:tr w14:paraId="4026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2A30E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76693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14:paraId="3D805F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r>
              <w:rPr>
                <w:rFonts w:hint="eastAsia" w:ascii="宋体" w:hAnsi="宋体" w:eastAsia="方正仿宋_GBK" w:cs="方正仿宋_GBK"/>
                <w:color w:val="000000"/>
                <w:kern w:val="0"/>
                <w:sz w:val="24"/>
                <w:szCs w:val="24"/>
              </w:rPr>
              <w:tab/>
            </w:r>
          </w:p>
        </w:tc>
        <w:tc>
          <w:tcPr>
            <w:tcW w:w="1075" w:type="dxa"/>
            <w:gridSpan w:val="2"/>
            <w:tcBorders>
              <w:tl2br w:val="nil"/>
              <w:tr2bl w:val="nil"/>
            </w:tcBorders>
            <w:noWrap w:val="0"/>
            <w:vAlign w:val="center"/>
          </w:tcPr>
          <w:p w14:paraId="155A0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14:paraId="65109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34A38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E59A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14:paraId="1C43B4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沈有斐</w:t>
            </w:r>
            <w:r>
              <w:rPr>
                <w:rFonts w:hint="eastAsia" w:ascii="宋体" w:hAnsi="宋体" w:eastAsia="方正仿宋_GBK" w:cs="方正仿宋_GBK"/>
                <w:color w:val="000000"/>
                <w:kern w:val="0"/>
                <w:sz w:val="24"/>
                <w:szCs w:val="24"/>
              </w:rPr>
              <w:tab/>
            </w:r>
          </w:p>
        </w:tc>
        <w:tc>
          <w:tcPr>
            <w:tcW w:w="1092" w:type="dxa"/>
            <w:tcBorders>
              <w:tl2br w:val="nil"/>
              <w:tr2bl w:val="nil"/>
            </w:tcBorders>
            <w:noWrap w:val="0"/>
            <w:vAlign w:val="center"/>
          </w:tcPr>
          <w:p w14:paraId="4F64C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14:paraId="5694F2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13996214789</w:t>
            </w:r>
          </w:p>
        </w:tc>
      </w:tr>
      <w:tr w14:paraId="4CB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1301AF0E">
            <w:pPr>
              <w:keepNext w:val="0"/>
              <w:keepLines w:val="0"/>
              <w:pageBreakBefore w:val="0"/>
              <w:widowControl/>
              <w:kinsoku/>
              <w:wordWrap/>
              <w:overflowPunct/>
              <w:topLinePunct w:val="0"/>
              <w:autoSpaceDE/>
              <w:autoSpaceDN/>
              <w:bidi w:val="0"/>
              <w:adjustRightInd/>
              <w:snapToGrid/>
              <w:spacing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14:paraId="55638A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14:paraId="75D22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BD1B4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14:paraId="2C462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14:paraId="6FF9CB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14:paraId="207EB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BB8F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14:paraId="07DD8A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30C6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14:paraId="4B06C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63D5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4AD78C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22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636D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14:paraId="30D0C1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14:paraId="7E35E7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1162" w:type="dxa"/>
            <w:gridSpan w:val="2"/>
            <w:tcBorders>
              <w:tl2br w:val="nil"/>
              <w:tr2bl w:val="nil"/>
            </w:tcBorders>
            <w:noWrap w:val="0"/>
            <w:vAlign w:val="center"/>
          </w:tcPr>
          <w:p w14:paraId="5B532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2316" w:type="dxa"/>
            <w:gridSpan w:val="3"/>
            <w:tcBorders>
              <w:tl2br w:val="nil"/>
              <w:tr2bl w:val="nil"/>
            </w:tcBorders>
            <w:noWrap w:val="0"/>
            <w:vAlign w:val="center"/>
          </w:tcPr>
          <w:p w14:paraId="09772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1092" w:type="dxa"/>
            <w:tcBorders>
              <w:tl2br w:val="nil"/>
              <w:tr2bl w:val="nil"/>
            </w:tcBorders>
            <w:noWrap w:val="0"/>
            <w:vAlign w:val="center"/>
          </w:tcPr>
          <w:p w14:paraId="10362D1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宋体" w:hAnsi="宋体" w:eastAsia="方正仿宋_GBK" w:cs="方正仿宋_GBK"/>
                <w:color w:val="000000"/>
                <w:kern w:val="0"/>
                <w:sz w:val="24"/>
                <w:szCs w:val="24"/>
                <w:lang w:val="en-US" w:eastAsia="zh-CN"/>
              </w:rPr>
            </w:pPr>
          </w:p>
        </w:tc>
        <w:tc>
          <w:tcPr>
            <w:tcW w:w="938" w:type="dxa"/>
            <w:tcBorders>
              <w:tl2br w:val="nil"/>
              <w:tr2bl w:val="nil"/>
            </w:tcBorders>
            <w:noWrap w:val="0"/>
            <w:vAlign w:val="center"/>
          </w:tcPr>
          <w:p w14:paraId="1C51A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kern w:val="0"/>
                <w:sz w:val="24"/>
                <w:szCs w:val="24"/>
                <w:lang w:val="en-US" w:eastAsia="zh-CN"/>
              </w:rPr>
            </w:pPr>
          </w:p>
        </w:tc>
        <w:tc>
          <w:tcPr>
            <w:tcW w:w="1238" w:type="dxa"/>
            <w:gridSpan w:val="2"/>
            <w:tcBorders>
              <w:tl2br w:val="nil"/>
              <w:tr2bl w:val="nil"/>
            </w:tcBorders>
            <w:noWrap w:val="0"/>
            <w:vAlign w:val="center"/>
          </w:tcPr>
          <w:p w14:paraId="215FE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r>
      <w:tr w14:paraId="1E7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28B3A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14:paraId="622506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2384A39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14:paraId="50F96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1162" w:type="dxa"/>
            <w:gridSpan w:val="2"/>
            <w:tcBorders>
              <w:tl2br w:val="nil"/>
              <w:tr2bl w:val="nil"/>
            </w:tcBorders>
            <w:noWrap w:val="0"/>
            <w:vAlign w:val="center"/>
          </w:tcPr>
          <w:p w14:paraId="7E883E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2316" w:type="dxa"/>
            <w:gridSpan w:val="3"/>
            <w:tcBorders>
              <w:tl2br w:val="nil"/>
              <w:tr2bl w:val="nil"/>
            </w:tcBorders>
            <w:noWrap w:val="0"/>
            <w:vAlign w:val="center"/>
          </w:tcPr>
          <w:p w14:paraId="1E3E9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51.34</w:t>
            </w:r>
          </w:p>
        </w:tc>
        <w:tc>
          <w:tcPr>
            <w:tcW w:w="1092" w:type="dxa"/>
            <w:tcBorders>
              <w:tl2br w:val="nil"/>
              <w:tr2bl w:val="nil"/>
            </w:tcBorders>
            <w:noWrap w:val="0"/>
            <w:vAlign w:val="center"/>
          </w:tcPr>
          <w:p w14:paraId="015B2E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38" w:type="dxa"/>
            <w:tcBorders>
              <w:tl2br w:val="nil"/>
              <w:tr2bl w:val="nil"/>
            </w:tcBorders>
            <w:noWrap w:val="0"/>
            <w:vAlign w:val="center"/>
          </w:tcPr>
          <w:p w14:paraId="161AD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8" w:type="dxa"/>
            <w:gridSpan w:val="2"/>
            <w:tcBorders>
              <w:tl2br w:val="nil"/>
              <w:tr2bl w:val="nil"/>
            </w:tcBorders>
            <w:noWrap w:val="0"/>
            <w:vAlign w:val="center"/>
          </w:tcPr>
          <w:p w14:paraId="263A1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7CB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3E550E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14:paraId="38A5CC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14:paraId="102BE5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14:paraId="6E6E06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322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47" w:type="dxa"/>
            <w:vMerge w:val="continue"/>
            <w:tcBorders>
              <w:tl2br w:val="nil"/>
              <w:tr2bl w:val="nil"/>
            </w:tcBorders>
            <w:noWrap w:val="0"/>
            <w:vAlign w:val="center"/>
          </w:tcPr>
          <w:p w14:paraId="6D218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14:paraId="4224D7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租赁移动专线对区电子政务中心机房远程管理，保障区电子政务中心机房能够得到实时监管，提高全区电子政务网络以及政务业务应用的网络安全防范等级。区电子政务中心机房互联网专线承担着江津区政务共享应用平台移动端出口业务，同时区府办督查室系统、区报社网站、区交易中心保障金支付系统互联网出口的业务也由该专线承接，保障人民群众能在互联网上正常访问江津区政府网站平台；保障区政务服务大厅业务工作的正常开展，按需接入互联网。</w:t>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p>
        </w:tc>
        <w:tc>
          <w:tcPr>
            <w:tcW w:w="3000" w:type="dxa"/>
            <w:gridSpan w:val="4"/>
            <w:tcBorders>
              <w:tl2br w:val="nil"/>
              <w:tr2bl w:val="nil"/>
            </w:tcBorders>
            <w:noWrap w:val="0"/>
            <w:vAlign w:val="center"/>
          </w:tcPr>
          <w:p w14:paraId="33A937F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268" w:type="dxa"/>
            <w:gridSpan w:val="4"/>
            <w:tcBorders>
              <w:tl2br w:val="nil"/>
              <w:tr2bl w:val="nil"/>
            </w:tcBorders>
            <w:noWrap w:val="0"/>
            <w:vAlign w:val="center"/>
          </w:tcPr>
          <w:p w14:paraId="1C62C4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租赁政务大厅互联网专线，保障政务大厅正常办公；区电子政务中心机房互联网专线承担着江津区政务共享应用平台移动端出口业务，同时区府办督查室系统、区报社网站、区交易中心保障金支付系统互联网出口的业务也由该专线承接，保障人民群众能在互联网上正常访问江津区政府网站平台。</w:t>
            </w:r>
          </w:p>
        </w:tc>
      </w:tr>
      <w:tr w14:paraId="432E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A633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14:paraId="63A0E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E8B0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14:paraId="57AB5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E0326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14:paraId="65699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3553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14:paraId="56167B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B039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14:paraId="302268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2C5D1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14:paraId="51D155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14:paraId="7323D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2B6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7B0652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14:paraId="3017C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6EBF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518A3D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14:paraId="069CC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44E3AC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42AC4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1A6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6A276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19CEEFE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设备租赁年限</w:t>
            </w:r>
          </w:p>
        </w:tc>
        <w:tc>
          <w:tcPr>
            <w:tcW w:w="708" w:type="dxa"/>
            <w:tcBorders>
              <w:tl2br w:val="nil"/>
              <w:tr2bl w:val="nil"/>
            </w:tcBorders>
            <w:noWrap w:val="0"/>
            <w:vAlign w:val="center"/>
          </w:tcPr>
          <w:p w14:paraId="5638B9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年</w:t>
            </w:r>
          </w:p>
        </w:tc>
        <w:tc>
          <w:tcPr>
            <w:tcW w:w="709" w:type="dxa"/>
            <w:tcBorders>
              <w:tl2br w:val="nil"/>
              <w:tr2bl w:val="nil"/>
            </w:tcBorders>
            <w:noWrap w:val="0"/>
            <w:vAlign w:val="center"/>
          </w:tcPr>
          <w:p w14:paraId="77560F3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w:t>
            </w:r>
          </w:p>
        </w:tc>
        <w:tc>
          <w:tcPr>
            <w:tcW w:w="844" w:type="dxa"/>
            <w:gridSpan w:val="2"/>
            <w:tcBorders>
              <w:tl2br w:val="nil"/>
              <w:tr2bl w:val="nil"/>
            </w:tcBorders>
            <w:noWrap w:val="0"/>
            <w:vAlign w:val="center"/>
          </w:tcPr>
          <w:p w14:paraId="0D8B2D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972" w:type="dxa"/>
            <w:gridSpan w:val="2"/>
            <w:tcBorders>
              <w:tl2br w:val="nil"/>
              <w:tr2bl w:val="nil"/>
            </w:tcBorders>
            <w:noWrap w:val="0"/>
            <w:vAlign w:val="center"/>
          </w:tcPr>
          <w:p w14:paraId="507ECAC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948" w:type="dxa"/>
            <w:tcBorders>
              <w:tl2br w:val="nil"/>
              <w:tr2bl w:val="nil"/>
            </w:tcBorders>
            <w:noWrap w:val="0"/>
            <w:vAlign w:val="center"/>
          </w:tcPr>
          <w:p w14:paraId="4EAFA5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13B3AEB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7F0D5D4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64CACD2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3245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45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781CF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417246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光纤故障率</w:t>
            </w:r>
          </w:p>
        </w:tc>
        <w:tc>
          <w:tcPr>
            <w:tcW w:w="708" w:type="dxa"/>
            <w:tcBorders>
              <w:tl2br w:val="nil"/>
              <w:tr2bl w:val="nil"/>
            </w:tcBorders>
            <w:noWrap w:val="0"/>
            <w:vAlign w:val="center"/>
          </w:tcPr>
          <w:p w14:paraId="798E21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6C7ABA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rPr>
              <w:t>≤</w:t>
            </w:r>
          </w:p>
        </w:tc>
        <w:tc>
          <w:tcPr>
            <w:tcW w:w="844" w:type="dxa"/>
            <w:gridSpan w:val="2"/>
            <w:tcBorders>
              <w:tl2br w:val="nil"/>
              <w:tr2bl w:val="nil"/>
            </w:tcBorders>
            <w:noWrap w:val="0"/>
            <w:vAlign w:val="center"/>
          </w:tcPr>
          <w:p w14:paraId="529F481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72" w:type="dxa"/>
            <w:gridSpan w:val="2"/>
            <w:tcBorders>
              <w:tl2br w:val="nil"/>
              <w:tr2bl w:val="nil"/>
            </w:tcBorders>
            <w:noWrap w:val="0"/>
            <w:vAlign w:val="center"/>
          </w:tcPr>
          <w:p w14:paraId="1791501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48" w:type="dxa"/>
            <w:tcBorders>
              <w:tl2br w:val="nil"/>
              <w:tr2bl w:val="nil"/>
            </w:tcBorders>
            <w:noWrap w:val="0"/>
            <w:vAlign w:val="center"/>
          </w:tcPr>
          <w:p w14:paraId="2B6C51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264B43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2590F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1D9FE3E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625A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44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C86A8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94982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光纤专线速率</w:t>
            </w:r>
          </w:p>
        </w:tc>
        <w:tc>
          <w:tcPr>
            <w:tcW w:w="708" w:type="dxa"/>
            <w:tcBorders>
              <w:tl2br w:val="nil"/>
              <w:tr2bl w:val="nil"/>
            </w:tcBorders>
            <w:noWrap w:val="0"/>
            <w:vAlign w:val="center"/>
          </w:tcPr>
          <w:p w14:paraId="2B446F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Mbps</w:t>
            </w:r>
          </w:p>
        </w:tc>
        <w:tc>
          <w:tcPr>
            <w:tcW w:w="709" w:type="dxa"/>
            <w:tcBorders>
              <w:tl2br w:val="nil"/>
              <w:tr2bl w:val="nil"/>
            </w:tcBorders>
            <w:noWrap w:val="0"/>
            <w:vAlign w:val="center"/>
          </w:tcPr>
          <w:p w14:paraId="264CAB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1382E1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2" w:type="dxa"/>
            <w:gridSpan w:val="2"/>
            <w:tcBorders>
              <w:tl2br w:val="nil"/>
              <w:tr2bl w:val="nil"/>
            </w:tcBorders>
            <w:noWrap w:val="0"/>
            <w:vAlign w:val="center"/>
          </w:tcPr>
          <w:p w14:paraId="5525CD2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48" w:type="dxa"/>
            <w:tcBorders>
              <w:tl2br w:val="nil"/>
              <w:tr2bl w:val="nil"/>
            </w:tcBorders>
            <w:noWrap w:val="0"/>
            <w:vAlign w:val="center"/>
          </w:tcPr>
          <w:p w14:paraId="1D6F5E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65594C7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1C114F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340489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504613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7C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FC15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0E7DF77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系统运行维护响应时间</w:t>
            </w:r>
          </w:p>
        </w:tc>
        <w:tc>
          <w:tcPr>
            <w:tcW w:w="708" w:type="dxa"/>
            <w:tcBorders>
              <w:tl2br w:val="nil"/>
              <w:tr2bl w:val="nil"/>
            </w:tcBorders>
            <w:noWrap w:val="0"/>
            <w:vAlign w:val="center"/>
          </w:tcPr>
          <w:p w14:paraId="2DCA70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小时</w:t>
            </w:r>
          </w:p>
        </w:tc>
        <w:tc>
          <w:tcPr>
            <w:tcW w:w="709" w:type="dxa"/>
            <w:tcBorders>
              <w:tl2br w:val="nil"/>
              <w:tr2bl w:val="nil"/>
            </w:tcBorders>
            <w:noWrap w:val="0"/>
            <w:vAlign w:val="center"/>
          </w:tcPr>
          <w:p w14:paraId="787D3F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7B3AB19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972" w:type="dxa"/>
            <w:gridSpan w:val="2"/>
            <w:tcBorders>
              <w:tl2br w:val="nil"/>
              <w:tr2bl w:val="nil"/>
            </w:tcBorders>
            <w:noWrap w:val="0"/>
            <w:vAlign w:val="center"/>
          </w:tcPr>
          <w:p w14:paraId="7816B3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w:t>
            </w:r>
          </w:p>
        </w:tc>
        <w:tc>
          <w:tcPr>
            <w:tcW w:w="948" w:type="dxa"/>
            <w:tcBorders>
              <w:tl2br w:val="nil"/>
              <w:tr2bl w:val="nil"/>
            </w:tcBorders>
            <w:noWrap w:val="0"/>
            <w:vAlign w:val="center"/>
          </w:tcPr>
          <w:p w14:paraId="079FE9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5E59F0F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3EED5D8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01C7D6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7F9AFA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D84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FD41F5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7F1617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保证正常办公率</w:t>
            </w:r>
          </w:p>
        </w:tc>
        <w:tc>
          <w:tcPr>
            <w:tcW w:w="708" w:type="dxa"/>
            <w:tcBorders>
              <w:tl2br w:val="nil"/>
              <w:tr2bl w:val="nil"/>
            </w:tcBorders>
            <w:noWrap w:val="0"/>
            <w:vAlign w:val="center"/>
          </w:tcPr>
          <w:p w14:paraId="5546EC3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5011FC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2454092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5785483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169C438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5.56</w:t>
            </w:r>
          </w:p>
        </w:tc>
        <w:tc>
          <w:tcPr>
            <w:tcW w:w="1080" w:type="dxa"/>
            <w:tcBorders>
              <w:tl2br w:val="nil"/>
              <w:tr2bl w:val="nil"/>
            </w:tcBorders>
            <w:noWrap w:val="0"/>
            <w:vAlign w:val="center"/>
          </w:tcPr>
          <w:p w14:paraId="357FFD4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2D05AC6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686DC0B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3FAC43E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731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DD8787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2467B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用户满意度</w:t>
            </w:r>
          </w:p>
        </w:tc>
        <w:tc>
          <w:tcPr>
            <w:tcW w:w="708" w:type="dxa"/>
            <w:tcBorders>
              <w:tl2br w:val="nil"/>
              <w:tr2bl w:val="nil"/>
            </w:tcBorders>
            <w:noWrap w:val="0"/>
            <w:vAlign w:val="center"/>
          </w:tcPr>
          <w:p w14:paraId="5E7BF3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14:paraId="7DF724E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4757AE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705EC02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bookmarkStart w:id="0" w:name="_GoBack"/>
            <w:bookmarkEnd w:id="0"/>
          </w:p>
        </w:tc>
        <w:tc>
          <w:tcPr>
            <w:tcW w:w="948" w:type="dxa"/>
            <w:tcBorders>
              <w:tl2br w:val="nil"/>
              <w:tr2bl w:val="nil"/>
            </w:tcBorders>
            <w:noWrap w:val="0"/>
            <w:vAlign w:val="center"/>
          </w:tcPr>
          <w:p w14:paraId="089B7B1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2627A8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081ADD7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1C23DAE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23D4F1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bl>
    <w:p w14:paraId="198CC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14:paraId="2DEDC6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本单位无此事项。</w:t>
      </w:r>
    </w:p>
    <w:p w14:paraId="744C6B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关于绩效自评结果的说明</w:t>
      </w:r>
    </w:p>
    <w:p w14:paraId="5DA929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无</w:t>
      </w:r>
      <w:r>
        <w:rPr>
          <w:rFonts w:hint="eastAsia" w:ascii="方正黑体_GBK" w:hAnsi="方正黑体_GBK" w:eastAsia="方正黑体_GBK" w:cs="方正黑体_GBK"/>
          <w:sz w:val="32"/>
          <w:szCs w:val="32"/>
          <w:lang w:val="en-US" w:eastAsia="zh-CN"/>
        </w:rPr>
        <w:t>。</w:t>
      </w:r>
    </w:p>
    <w:p w14:paraId="53AB740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重点绩效评价结果</w:t>
      </w:r>
    </w:p>
    <w:p w14:paraId="556D93E9">
      <w:pPr>
        <w:keepNext w:val="0"/>
        <w:keepLines w:val="0"/>
        <w:pageBreakBefore w:val="0"/>
        <w:widowControl w:val="0"/>
        <w:numPr>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本单位无此事项。</w:t>
      </w:r>
    </w:p>
    <w:p w14:paraId="277945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64E0C6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2BEB8A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0CFB31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458486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0815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14:paraId="081945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12F40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4666EF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（八）年末结转和结余：指单位结转下年的基本支出结转、项目支出结转和结余、经营结余。</w:t>
      </w:r>
    </w:p>
    <w:p w14:paraId="7ABC8C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6E1A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（十）项目支出：指在基本支出之外为完成特定行政任务和事业发展目标所发生的支出。</w:t>
      </w:r>
    </w:p>
    <w:p w14:paraId="6F8AF8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（十一）经营支出：指事业单位在专业业务活动及其辅助活动之外开展非独立核算经营活动发生的支出。</w:t>
      </w:r>
    </w:p>
    <w:p w14:paraId="12230E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07C9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9149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（十四）工资福利支出（支出经济分类科目类级）：反映单位开支的在职职工和编制外长期聘用人员的各类劳动报酬，以及为上述人员缴纳的各项社会保险费等。</w:t>
      </w:r>
    </w:p>
    <w:p w14:paraId="21505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（十五）商品和服务支出（支出经济分类科目类级）：反映单位购买商品和服务的支出（不包括用于购置固定资产的支出、战略性和应急储备支出）。</w:t>
      </w:r>
    </w:p>
    <w:p w14:paraId="7CDAF9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（十六）对个人和家庭的补助（支出经济分类科目类级）：反映用于对个人和家庭的补助支出。</w:t>
      </w:r>
    </w:p>
    <w:p w14:paraId="2AA452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5586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七、决算公开联系方式及信息反馈渠道</w:t>
      </w:r>
    </w:p>
    <w:p w14:paraId="6EB6C9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14:paraId="29AC98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苏杨</w:t>
      </w:r>
      <w:r>
        <w:rPr>
          <w:rFonts w:hint="eastAsia" w:ascii="方正仿宋_GBK" w:hAnsi="方正仿宋_GBK" w:eastAsia="方正仿宋_GBK" w:cs="方正仿宋_GBK"/>
          <w:sz w:val="32"/>
          <w:szCs w:val="32"/>
        </w:rPr>
        <w:t xml:space="preserve">    联系电话：023-</w:t>
      </w:r>
      <w:r>
        <w:rPr>
          <w:rFonts w:hint="eastAsia" w:ascii="方正仿宋_GBK" w:hAnsi="方正仿宋_GBK" w:eastAsia="方正仿宋_GBK" w:cs="方正仿宋_GBK"/>
          <w:sz w:val="32"/>
          <w:szCs w:val="32"/>
          <w:lang w:val="en-US" w:eastAsia="zh-CN"/>
        </w:rPr>
        <w:t>81222208。</w:t>
      </w:r>
    </w:p>
    <w:p w14:paraId="4B785C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573E9"/>
    <w:multiLevelType w:val="singleLevel"/>
    <w:tmpl w:val="FCF573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mMyNjk4Y2U3MzA1MTFkYTM5MTliYTE2MzRiOTEifQ=="/>
  </w:docVars>
  <w:rsids>
    <w:rsidRoot w:val="4A533FB1"/>
    <w:rsid w:val="00CA45B9"/>
    <w:rsid w:val="00CE24D1"/>
    <w:rsid w:val="00FF6651"/>
    <w:rsid w:val="012F2D10"/>
    <w:rsid w:val="07C80EFB"/>
    <w:rsid w:val="0932487E"/>
    <w:rsid w:val="0CC954FA"/>
    <w:rsid w:val="10305890"/>
    <w:rsid w:val="121D1E44"/>
    <w:rsid w:val="163065E9"/>
    <w:rsid w:val="18C63B73"/>
    <w:rsid w:val="1C420E24"/>
    <w:rsid w:val="1EAB2E98"/>
    <w:rsid w:val="1FFE1506"/>
    <w:rsid w:val="2197751D"/>
    <w:rsid w:val="21BF4C05"/>
    <w:rsid w:val="22860C3B"/>
    <w:rsid w:val="234731C4"/>
    <w:rsid w:val="23BD57F0"/>
    <w:rsid w:val="23C27922"/>
    <w:rsid w:val="245726B3"/>
    <w:rsid w:val="25253091"/>
    <w:rsid w:val="25BA561F"/>
    <w:rsid w:val="29187F2C"/>
    <w:rsid w:val="2A0E0081"/>
    <w:rsid w:val="2A9A77ED"/>
    <w:rsid w:val="2B3350AB"/>
    <w:rsid w:val="2B6B2ED3"/>
    <w:rsid w:val="2C245E51"/>
    <w:rsid w:val="2C8608B9"/>
    <w:rsid w:val="2C8B5ED0"/>
    <w:rsid w:val="2CA27252"/>
    <w:rsid w:val="2E6454A6"/>
    <w:rsid w:val="2F4A3E20"/>
    <w:rsid w:val="2F9D4F14"/>
    <w:rsid w:val="2FDB0F1C"/>
    <w:rsid w:val="3B9D177C"/>
    <w:rsid w:val="3D3103CE"/>
    <w:rsid w:val="3F9B6078"/>
    <w:rsid w:val="3FDE4900"/>
    <w:rsid w:val="405A102B"/>
    <w:rsid w:val="4061546E"/>
    <w:rsid w:val="414E75FF"/>
    <w:rsid w:val="426E70EC"/>
    <w:rsid w:val="442A42A5"/>
    <w:rsid w:val="47FA432A"/>
    <w:rsid w:val="48C645F5"/>
    <w:rsid w:val="4A533FB1"/>
    <w:rsid w:val="4B5300A9"/>
    <w:rsid w:val="4C09086B"/>
    <w:rsid w:val="4CF324BE"/>
    <w:rsid w:val="4DBE3EFF"/>
    <w:rsid w:val="4E4A7CCA"/>
    <w:rsid w:val="54245941"/>
    <w:rsid w:val="54393172"/>
    <w:rsid w:val="57034731"/>
    <w:rsid w:val="573C5E95"/>
    <w:rsid w:val="57686C8A"/>
    <w:rsid w:val="59151684"/>
    <w:rsid w:val="5AB409B3"/>
    <w:rsid w:val="5B7976B8"/>
    <w:rsid w:val="600B1141"/>
    <w:rsid w:val="604069F6"/>
    <w:rsid w:val="63003879"/>
    <w:rsid w:val="635959A6"/>
    <w:rsid w:val="635E1D70"/>
    <w:rsid w:val="63A454EE"/>
    <w:rsid w:val="64DB71EF"/>
    <w:rsid w:val="652266CA"/>
    <w:rsid w:val="67A04834"/>
    <w:rsid w:val="68114A39"/>
    <w:rsid w:val="685A3318"/>
    <w:rsid w:val="699D73E1"/>
    <w:rsid w:val="69E16237"/>
    <w:rsid w:val="6B32518D"/>
    <w:rsid w:val="6BA974EE"/>
    <w:rsid w:val="710B2708"/>
    <w:rsid w:val="71F5068D"/>
    <w:rsid w:val="74942A15"/>
    <w:rsid w:val="74BD4012"/>
    <w:rsid w:val="770F2826"/>
    <w:rsid w:val="771D13E7"/>
    <w:rsid w:val="774D6A77"/>
    <w:rsid w:val="78CA10FB"/>
    <w:rsid w:val="7A726DEE"/>
    <w:rsid w:val="7A9419C0"/>
    <w:rsid w:val="7B902188"/>
    <w:rsid w:val="7D78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7551</Words>
  <Characters>8423</Characters>
  <Lines>0</Lines>
  <Paragraphs>0</Paragraphs>
  <TotalTime>14</TotalTime>
  <ScaleCrop>false</ScaleCrop>
  <LinksUpToDate>false</LinksUpToDate>
  <CharactersWithSpaces>8456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2024-08-19T07:27:00Z</dcterms:created>
  <dc:creator>zsq123</dc:creator>
  <cp:lastModifiedBy>zsq123</cp:lastModifiedBy>
  <dcterms:modified xsi:type="dcterms:W3CDTF">2024-08-20T03:19:43Z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793BB47C30DD4DF1AA3E580E273B2FEF_13</vt:lpwstr>
  </property>
</Properties>
</file>