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ascii="宋体" w:hAnsi="宋体" w:eastAsia="宋体" w:cs="宋体"/>
          <w:b/>
          <w:bCs/>
          <w:color w:val="auto"/>
          <w:spacing w:val="-42"/>
          <w:w w:val="98"/>
          <w:sz w:val="46"/>
          <w:szCs w:val="46"/>
        </w:rPr>
      </w:pPr>
      <w:bookmarkStart w:id="0" w:name="_GoBack"/>
      <w:bookmarkEnd w:id="0"/>
      <w:r>
        <w:rPr>
          <w:rFonts w:ascii="宋体" w:hAnsi="宋体" w:eastAsia="宋体" w:cs="宋体"/>
          <w:b/>
          <w:bCs/>
          <w:color w:val="auto"/>
          <w:spacing w:val="-42"/>
          <w:w w:val="98"/>
          <w:sz w:val="46"/>
          <w:szCs w:val="46"/>
        </w:rPr>
        <w:t>重庆市住房和城乡建设委员会</w:t>
      </w:r>
    </w:p>
    <w:p>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ascii="宋体" w:hAnsi="宋体" w:eastAsia="宋体" w:cs="宋体"/>
          <w:b/>
          <w:bCs/>
          <w:color w:val="auto"/>
          <w:spacing w:val="-33"/>
          <w:sz w:val="46"/>
          <w:szCs w:val="46"/>
        </w:rPr>
      </w:pPr>
      <w:r>
        <w:rPr>
          <w:rFonts w:ascii="宋体" w:hAnsi="宋体" w:eastAsia="宋体" w:cs="宋体"/>
          <w:b/>
          <w:bCs/>
          <w:color w:val="auto"/>
          <w:spacing w:val="-33"/>
          <w:sz w:val="46"/>
          <w:szCs w:val="46"/>
        </w:rPr>
        <w:t>关于进一步加强农村低收入群体住房安全</w:t>
      </w:r>
    </w:p>
    <w:p>
      <w:pPr>
        <w:spacing w:before="16" w:line="220" w:lineRule="auto"/>
        <w:ind w:right="625"/>
        <w:jc w:val="center"/>
        <w:rPr>
          <w:rFonts w:ascii="宋体" w:hAnsi="宋体" w:eastAsia="宋体" w:cs="宋体"/>
          <w:color w:val="auto"/>
          <w:sz w:val="46"/>
          <w:szCs w:val="46"/>
        </w:rPr>
      </w:pPr>
      <w:r>
        <w:rPr>
          <w:rFonts w:ascii="宋体" w:hAnsi="宋体" w:eastAsia="宋体" w:cs="宋体"/>
          <w:b/>
          <w:bCs/>
          <w:color w:val="auto"/>
          <w:spacing w:val="-28"/>
          <w:sz w:val="46"/>
          <w:szCs w:val="46"/>
        </w:rPr>
        <w:t>情况动态监测台账管理工作的通知</w:t>
      </w:r>
    </w:p>
    <w:p>
      <w:pPr>
        <w:spacing w:line="278" w:lineRule="auto"/>
        <w:rPr>
          <w:rFonts w:ascii="Arial"/>
          <w:sz w:val="21"/>
        </w:rPr>
      </w:pPr>
    </w:p>
    <w:p>
      <w:pPr>
        <w:spacing w:line="278" w:lineRule="auto"/>
        <w:rPr>
          <w:rFonts w:ascii="Arial"/>
          <w:sz w:val="21"/>
        </w:rPr>
      </w:pPr>
    </w:p>
    <w:p>
      <w:pPr>
        <w:pStyle w:val="2"/>
        <w:spacing w:before="112" w:line="222" w:lineRule="auto"/>
        <w:ind w:left="79"/>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3"/>
          <w:sz w:val="32"/>
          <w:szCs w:val="32"/>
        </w:rPr>
        <w:t>各区县(自治县)住房城乡建委，万盛经开区住房城乡建设局：</w:t>
      </w:r>
    </w:p>
    <w:p>
      <w:pPr>
        <w:pStyle w:val="2"/>
        <w:spacing w:before="150" w:line="552" w:lineRule="exact"/>
        <w:ind w:left="709"/>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7"/>
          <w:position w:val="14"/>
          <w:sz w:val="32"/>
          <w:szCs w:val="32"/>
        </w:rPr>
        <w:t>为进一步加强农村低收入群体住房安全情况动态监测台账</w:t>
      </w:r>
    </w:p>
    <w:p>
      <w:pPr>
        <w:pStyle w:val="2"/>
        <w:spacing w:before="1" w:line="221" w:lineRule="auto"/>
        <w:ind w:left="79"/>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3"/>
          <w:sz w:val="32"/>
          <w:szCs w:val="32"/>
        </w:rPr>
        <w:t>管理，现将有关事项通知如下。</w:t>
      </w:r>
    </w:p>
    <w:p>
      <w:pPr>
        <w:keepNext w:val="0"/>
        <w:keepLines w:val="0"/>
        <w:pageBreakBefore w:val="0"/>
        <w:widowControl/>
        <w:kinsoku w:val="0"/>
        <w:wordWrap/>
        <w:overflowPunct/>
        <w:topLinePunct w:val="0"/>
        <w:autoSpaceDE w:val="0"/>
        <w:autoSpaceDN w:val="0"/>
        <w:bidi w:val="0"/>
        <w:adjustRightInd w:val="0"/>
        <w:snapToGrid w:val="0"/>
        <w:spacing w:before="165" w:line="579" w:lineRule="exact"/>
        <w:ind w:left="714"/>
        <w:textAlignment w:val="baseline"/>
        <w:rPr>
          <w:rFonts w:hint="eastAsia" w:ascii="方正黑体_GBK" w:hAnsi="方正黑体_GBK" w:eastAsia="方正黑体_GBK" w:cs="方正黑体_GBK"/>
          <w:color w:val="auto"/>
          <w:sz w:val="33"/>
          <w:szCs w:val="33"/>
        </w:rPr>
      </w:pPr>
      <w:r>
        <w:rPr>
          <w:rFonts w:hint="eastAsia" w:ascii="方正黑体_GBK" w:hAnsi="方正黑体_GBK" w:eastAsia="方正黑体_GBK" w:cs="方正黑体_GBK"/>
          <w:b/>
          <w:bCs/>
          <w:color w:val="auto"/>
          <w:spacing w:val="-17"/>
          <w:sz w:val="33"/>
          <w:szCs w:val="33"/>
        </w:rPr>
        <w:t>一、全面加强住房安全情况动态监测</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85" w:firstLine="629"/>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8"/>
          <w:sz w:val="32"/>
          <w:szCs w:val="32"/>
        </w:rPr>
        <w:t>各区县住房城乡建设部门要加强与民政、乡村振兴部门协调</w:t>
      </w:r>
      <w:r>
        <w:rPr>
          <w:rFonts w:hint="eastAsia" w:ascii="方正仿宋_GBK" w:hAnsi="方正仿宋_GBK" w:eastAsia="方正仿宋_GBK" w:cs="方正仿宋_GBK"/>
          <w:spacing w:val="1"/>
          <w:sz w:val="32"/>
          <w:szCs w:val="32"/>
        </w:rPr>
        <w:t xml:space="preserve"> </w:t>
      </w:r>
      <w:r>
        <w:rPr>
          <w:rFonts w:hint="eastAsia" w:ascii="方正仿宋_GBK" w:hAnsi="方正仿宋_GBK" w:eastAsia="方正仿宋_GBK" w:cs="方正仿宋_GBK"/>
          <w:spacing w:val="-38"/>
          <w:sz w:val="32"/>
          <w:szCs w:val="32"/>
        </w:rPr>
        <w:t>联动和数据互通共享，每月对民政、乡村振兴部</w:t>
      </w:r>
      <w:r>
        <w:rPr>
          <w:rFonts w:hint="eastAsia" w:ascii="方正仿宋_GBK" w:hAnsi="方正仿宋_GBK" w:eastAsia="方正仿宋_GBK" w:cs="方正仿宋_GBK"/>
          <w:spacing w:val="-39"/>
          <w:sz w:val="32"/>
          <w:szCs w:val="32"/>
        </w:rPr>
        <w:t>门新认定的农村</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20"/>
          <w:sz w:val="32"/>
          <w:szCs w:val="32"/>
        </w:rPr>
        <w:t>低收入群体住房情况，进行全面排查、鉴定(评定),及时将住</w:t>
      </w:r>
      <w:r>
        <w:rPr>
          <w:rFonts w:hint="eastAsia" w:ascii="方正仿宋_GBK" w:hAnsi="方正仿宋_GBK" w:eastAsia="方正仿宋_GBK" w:cs="方正仿宋_GBK"/>
          <w:spacing w:val="-34"/>
          <w:sz w:val="32"/>
          <w:szCs w:val="32"/>
        </w:rPr>
        <w:t>房安全无保障的农村低收入群体纳入动态监测台账管理。</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98" w:firstLine="629"/>
        <w:jc w:val="both"/>
        <w:textAlignment w:val="baseline"/>
        <w:rPr>
          <w:rFonts w:hint="eastAsia" w:ascii="方正仿宋_GBK" w:hAnsi="方正仿宋_GBK" w:eastAsia="方正仿宋_GBK" w:cs="方正仿宋_GBK"/>
          <w:spacing w:val="-34"/>
          <w:sz w:val="32"/>
          <w:szCs w:val="32"/>
        </w:rPr>
      </w:pPr>
      <w:r>
        <w:rPr>
          <w:rFonts w:hint="eastAsia" w:ascii="方正仿宋_GBK" w:hAnsi="方正仿宋_GBK" w:eastAsia="方正仿宋_GBK" w:cs="方正仿宋_GBK"/>
          <w:spacing w:val="-25"/>
          <w:sz w:val="32"/>
          <w:szCs w:val="32"/>
        </w:rPr>
        <w:t>各区县住房城乡建设部门要督促乡镇(街道)加强住房</w:t>
      </w:r>
      <w:r>
        <w:rPr>
          <w:rFonts w:hint="eastAsia" w:ascii="方正仿宋_GBK" w:hAnsi="方正仿宋_GBK" w:eastAsia="方正仿宋_GBK" w:cs="方正仿宋_GBK"/>
          <w:spacing w:val="-26"/>
          <w:sz w:val="32"/>
          <w:szCs w:val="32"/>
        </w:rPr>
        <w:t>安全</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38"/>
          <w:sz w:val="32"/>
          <w:szCs w:val="32"/>
        </w:rPr>
        <w:t>情况的日常核查，对住房安全无保障的农村低</w:t>
      </w:r>
      <w:r>
        <w:rPr>
          <w:rFonts w:hint="eastAsia" w:ascii="方正仿宋_GBK" w:hAnsi="方正仿宋_GBK" w:eastAsia="方正仿宋_GBK" w:cs="方正仿宋_GBK"/>
          <w:spacing w:val="-39"/>
          <w:sz w:val="32"/>
          <w:szCs w:val="32"/>
        </w:rPr>
        <w:t>收入群体，要及时</w:t>
      </w:r>
      <w:r>
        <w:rPr>
          <w:rFonts w:hint="eastAsia" w:ascii="方正仿宋_GBK" w:hAnsi="方正仿宋_GBK" w:eastAsia="方正仿宋_GBK" w:cs="方正仿宋_GBK"/>
          <w:spacing w:val="-34"/>
          <w:sz w:val="32"/>
          <w:szCs w:val="32"/>
        </w:rPr>
        <w:t>纳入动态监测台账管理，做到“不漏一户、不掉一人”。</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98" w:firstLine="629"/>
        <w:jc w:val="both"/>
        <w:textAlignment w:val="baseline"/>
        <w:rPr>
          <w:rFonts w:hint="eastAsia" w:ascii="方正黑体_GBK" w:hAnsi="方正黑体_GBK" w:eastAsia="方正黑体_GBK" w:cs="方正黑体_GBK"/>
          <w:color w:val="auto"/>
          <w:sz w:val="33"/>
          <w:szCs w:val="33"/>
        </w:rPr>
      </w:pPr>
      <w:r>
        <w:rPr>
          <w:rFonts w:hint="eastAsia" w:ascii="方正黑体_GBK" w:hAnsi="方正黑体_GBK" w:eastAsia="方正黑体_GBK" w:cs="方正黑体_GBK"/>
          <w:b/>
          <w:bCs/>
          <w:color w:val="auto"/>
          <w:spacing w:val="-17"/>
          <w:sz w:val="33"/>
          <w:szCs w:val="33"/>
        </w:rPr>
        <w:t>二、动态监测台账实行每月更新</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250" w:firstLine="62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各区县住房城乡建设部门要根据排查鉴定(评</w:t>
      </w:r>
      <w:r>
        <w:rPr>
          <w:rFonts w:hint="eastAsia" w:ascii="方正仿宋_GBK" w:hAnsi="方正仿宋_GBK" w:eastAsia="方正仿宋_GBK" w:cs="方正仿宋_GBK"/>
          <w:spacing w:val="-4"/>
          <w:sz w:val="32"/>
          <w:szCs w:val="32"/>
        </w:rPr>
        <w:t>定)、乡镇</w:t>
      </w:r>
      <w:r>
        <w:rPr>
          <w:rFonts w:hint="eastAsia" w:ascii="方正仿宋_GBK" w:hAnsi="方正仿宋_GBK" w:eastAsia="方正仿宋_GBK" w:cs="方正仿宋_GBK"/>
          <w:spacing w:val="27"/>
          <w:sz w:val="32"/>
          <w:szCs w:val="32"/>
        </w:rPr>
        <w:t>(街道)核查等情况，每月更新动态监测台账后推送给同级民</w:t>
      </w:r>
      <w:r>
        <w:rPr>
          <w:rFonts w:hint="eastAsia" w:ascii="方正仿宋_GBK" w:hAnsi="方正仿宋_GBK" w:eastAsia="方正仿宋_GBK" w:cs="方正仿宋_GBK"/>
          <w:spacing w:val="9"/>
          <w:sz w:val="32"/>
          <w:szCs w:val="32"/>
        </w:rPr>
        <w:t xml:space="preserve"> </w:t>
      </w:r>
      <w:r>
        <w:rPr>
          <w:rFonts w:hint="eastAsia" w:ascii="方正仿宋_GBK" w:hAnsi="方正仿宋_GBK" w:eastAsia="方正仿宋_GBK" w:cs="方正仿宋_GBK"/>
          <w:spacing w:val="21"/>
          <w:sz w:val="32"/>
          <w:szCs w:val="32"/>
        </w:rPr>
        <w:t>政、乡村振兴部门并报送至市住房城乡建委，同步更新《全国</w:t>
      </w:r>
      <w:r>
        <w:rPr>
          <w:rFonts w:hint="eastAsia" w:ascii="方正仿宋_GBK" w:hAnsi="方正仿宋_GBK" w:eastAsia="方正仿宋_GBK" w:cs="方正仿宋_GBK"/>
          <w:spacing w:val="8"/>
          <w:sz w:val="32"/>
          <w:szCs w:val="32"/>
        </w:rPr>
        <w:t>农村危房改造信息系统》的“六类对象动态监测”模块相关信息。</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textAlignment w:val="baseline"/>
        <w:rPr>
          <w:rFonts w:hint="eastAsia" w:ascii="方正仿宋_GBK" w:hAnsi="方正仿宋_GBK" w:eastAsia="方正仿宋_GBK" w:cs="方正仿宋_GBK"/>
          <w:spacing w:val="-4"/>
          <w:sz w:val="32"/>
          <w:szCs w:val="32"/>
        </w:rPr>
        <w:sectPr>
          <w:footerReference r:id="rId5" w:type="default"/>
          <w:pgSz w:w="11900" w:h="16840"/>
          <w:pgMar w:top="2098" w:right="1474" w:bottom="1984" w:left="1587" w:header="0" w:footer="867"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30" w:firstLine="539"/>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2"/>
          <w:sz w:val="32"/>
          <w:szCs w:val="32"/>
        </w:rPr>
        <w:t>各区县住房城乡建设部门要指导乡镇(街道)逐户</w:t>
      </w:r>
      <w:r>
        <w:rPr>
          <w:rFonts w:hint="eastAsia" w:ascii="方正仿宋_GBK" w:hAnsi="方正仿宋_GBK" w:eastAsia="方正仿宋_GBK" w:cs="方正仿宋_GBK"/>
          <w:spacing w:val="31"/>
          <w:sz w:val="32"/>
          <w:szCs w:val="32"/>
        </w:rPr>
        <w:t xml:space="preserve">落实保 </w:t>
      </w:r>
      <w:r>
        <w:rPr>
          <w:rFonts w:hint="eastAsia" w:ascii="方正仿宋_GBK" w:hAnsi="方正仿宋_GBK" w:eastAsia="方正仿宋_GBK" w:cs="方正仿宋_GBK"/>
          <w:spacing w:val="14"/>
          <w:sz w:val="32"/>
          <w:szCs w:val="32"/>
        </w:rPr>
        <w:t>障措施，做到“发现一户、保障一户”。对通过农村危房改造、</w:t>
      </w:r>
      <w:r>
        <w:rPr>
          <w:rFonts w:hint="eastAsia" w:ascii="方正仿宋_GBK" w:hAnsi="方正仿宋_GBK" w:eastAsia="方正仿宋_GBK" w:cs="方正仿宋_GBK"/>
          <w:spacing w:val="16"/>
          <w:sz w:val="32"/>
          <w:szCs w:val="32"/>
        </w:rPr>
        <w:t xml:space="preserve"> </w:t>
      </w:r>
      <w:r>
        <w:rPr>
          <w:rFonts w:hint="eastAsia" w:ascii="方正仿宋_GBK" w:hAnsi="方正仿宋_GBK" w:eastAsia="方正仿宋_GBK" w:cs="方正仿宋_GBK"/>
          <w:spacing w:val="8"/>
          <w:sz w:val="32"/>
          <w:szCs w:val="32"/>
        </w:rPr>
        <w:t>因灾倒损农房恢复重建、地灾避险搬迁等方式保障住房安全的农</w:t>
      </w:r>
      <w:r>
        <w:rPr>
          <w:rFonts w:hint="eastAsia" w:ascii="方正仿宋_GBK" w:hAnsi="方正仿宋_GBK" w:eastAsia="方正仿宋_GBK" w:cs="方正仿宋_GBK"/>
          <w:spacing w:val="14"/>
          <w:sz w:val="32"/>
          <w:szCs w:val="32"/>
        </w:rPr>
        <w:t>村低收入群体，要采取措施保障过渡期住房安全。</w:t>
      </w:r>
    </w:p>
    <w:p>
      <w:pPr>
        <w:spacing w:before="192" w:line="220" w:lineRule="auto"/>
        <w:ind w:left="724"/>
        <w:outlineLvl w:val="1"/>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b/>
          <w:bCs/>
          <w:color w:val="auto"/>
          <w:spacing w:val="10"/>
          <w:sz w:val="30"/>
          <w:szCs w:val="30"/>
        </w:rPr>
        <w:t>三、发挥动态监测台账作用</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30" w:firstLine="539"/>
        <w:jc w:val="both"/>
        <w:textAlignment w:val="baseline"/>
        <w:rPr>
          <w:rFonts w:hint="eastAsia"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动态监测台账作为全市下达农村危房改造计划的基础，未纳 入动态监测台账的农村低收入群体，原则上不纳入农村危房改造 计划。各区县通过农村危房改造以外的方式保障农村低收入群体住房安全的，要先纳入动态监测台账再落实保障措施。</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30" w:firstLine="539"/>
        <w:jc w:val="both"/>
        <w:textAlignment w:val="baseline"/>
        <w:rPr>
          <w:rFonts w:hint="eastAsia"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各区县住房城乡建设部门要督促乡镇(街道)在发现住房安 全无保障的农村低收入群体后，先报告区县住房城乡建设部门纳 入动态监测台账再落实保障措施。各区县住房城乡建设部门发现 乡镇(街道)未及时报告并纳入动态监测台账的情况，要督促乡镇(街道)立即纠正。</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right="130"/>
        <w:jc w:val="both"/>
        <w:textAlignment w:val="baseline"/>
        <w:rPr>
          <w:rFonts w:hint="eastAsia" w:ascii="方正仿宋_GBK" w:hAnsi="方正仿宋_GBK" w:eastAsia="方正仿宋_GBK" w:cs="方正仿宋_GBK"/>
          <w:spacing w:val="16"/>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30" w:firstLine="539"/>
        <w:jc w:val="both"/>
        <w:textAlignment w:val="baseline"/>
        <w:rPr>
          <w:rFonts w:hint="eastAsia" w:ascii="方正仿宋_GBK" w:hAnsi="方正仿宋_GBK" w:eastAsia="方正仿宋_GBK" w:cs="方正仿宋_GBK"/>
          <w:spacing w:val="16"/>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30" w:firstLine="539"/>
        <w:jc w:val="right"/>
        <w:textAlignment w:val="baseline"/>
        <w:rPr>
          <w:rFonts w:hint="eastAsia"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重庆市住房和城乡建设委员会</w:t>
      </w:r>
    </w:p>
    <w:p>
      <w:pPr>
        <w:pStyle w:val="2"/>
        <w:keepNext w:val="0"/>
        <w:keepLines w:val="0"/>
        <w:pageBreakBefore w:val="0"/>
        <w:widowControl/>
        <w:kinsoku w:val="0"/>
        <w:wordWrap/>
        <w:overflowPunct/>
        <w:topLinePunct w:val="0"/>
        <w:autoSpaceDE w:val="0"/>
        <w:autoSpaceDN w:val="0"/>
        <w:bidi w:val="0"/>
        <w:adjustRightInd w:val="0"/>
        <w:snapToGrid w:val="0"/>
        <w:spacing w:before="1" w:line="579" w:lineRule="exact"/>
        <w:ind w:left="29" w:leftChars="14" w:right="130" w:firstLine="539"/>
        <w:jc w:val="center"/>
        <w:textAlignment w:val="baseline"/>
        <w:rPr>
          <w:rFonts w:hint="eastAsia"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lang w:val="en-US" w:eastAsia="zh-CN"/>
        </w:rPr>
        <w:t xml:space="preserve">                                           </w:t>
      </w:r>
      <w:r>
        <w:rPr>
          <w:rFonts w:hint="eastAsia" w:ascii="方正仿宋_GBK" w:hAnsi="方正仿宋_GBK" w:eastAsia="方正仿宋_GBK" w:cs="方正仿宋_GBK"/>
          <w:spacing w:val="16"/>
          <w:sz w:val="32"/>
          <w:szCs w:val="32"/>
        </w:rPr>
        <w:t>2024年2月6日</w:t>
      </w:r>
    </w:p>
    <w:p>
      <w:pPr>
        <w:spacing w:line="475" w:lineRule="auto"/>
        <w:jc w:val="right"/>
        <w:rPr>
          <w:rFonts w:ascii="Arial"/>
          <w:sz w:val="21"/>
        </w:rPr>
      </w:pPr>
    </w:p>
    <w:p>
      <w:pPr>
        <w:spacing w:before="1" w:line="20" w:lineRule="exact"/>
        <w:rPr>
          <w:rFonts w:hint="eastAsia" w:eastAsia="宋体"/>
          <w:lang w:val="en-US" w:eastAsia="zh-CN"/>
        </w:rPr>
      </w:pPr>
      <w:r>
        <w:rPr>
          <w:rFonts w:hint="eastAsia" w:eastAsia="宋体"/>
          <w:lang w:val="en-US" w:eastAsia="zh-CN"/>
        </w:rPr>
        <w:t xml:space="preserve"> </w:t>
      </w:r>
    </w:p>
    <w:p>
      <w:pPr>
        <w:pStyle w:val="2"/>
        <w:spacing w:before="48" w:line="222" w:lineRule="auto"/>
        <w:ind w:left="69"/>
        <w:rPr>
          <w:rFonts w:hint="default"/>
          <w:sz w:val="23"/>
          <w:szCs w:val="23"/>
          <w:lang w:val="en-US"/>
        </w:rPr>
      </w:pPr>
      <w:r>
        <w:rPr>
          <w:rFonts w:hint="eastAsia"/>
          <w:sz w:val="23"/>
          <w:szCs w:val="23"/>
          <w:lang w:val="en-US" w:eastAsia="zh-CN"/>
        </w:rPr>
        <w:t xml:space="preserve">                     </w:t>
      </w:r>
    </w:p>
    <w:sectPr>
      <w:footerReference r:id="rId6" w:type="default"/>
      <w:pgSz w:w="11900" w:h="16840"/>
      <w:pgMar w:top="1431" w:right="1390" w:bottom="1120" w:left="1499" w:header="0" w:footer="8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9" w:lineRule="exact"/>
      <w:ind w:firstLine="29"/>
    </w:pPr>
  </w:p>
  <w:p>
    <w:pPr>
      <w:spacing w:line="335" w:lineRule="auto"/>
      <w:rPr>
        <w:rFonts w:ascii="Arial"/>
        <w:sz w:val="21"/>
      </w:rPr>
    </w:pPr>
  </w:p>
  <w:p>
    <w:pPr>
      <w:spacing w:line="335" w:lineRule="auto"/>
      <w:rPr>
        <w:rFonts w:ascii="Arial"/>
        <w:sz w:val="21"/>
      </w:rPr>
    </w:pPr>
  </w:p>
  <w:p>
    <w:pPr>
      <w:spacing w:before="1" w:line="177" w:lineRule="auto"/>
      <w:ind w:right="29"/>
      <w:jc w:val="right"/>
      <w:rPr>
        <w:rFonts w:ascii="宋体" w:hAnsi="宋体" w:eastAsia="宋体" w:cs="宋体"/>
        <w:sz w:val="32"/>
        <w:szCs w:val="32"/>
      </w:rPr>
    </w:pPr>
    <w:r>
      <w:rPr>
        <w:rFonts w:ascii="宋体" w:hAnsi="宋体" w:eastAsia="宋体" w:cs="宋体"/>
        <w:spacing w:val="-8"/>
        <w:w w:val="50"/>
        <w:sz w:val="32"/>
        <w:szCs w:val="32"/>
      </w:rPr>
      <w:t>—</w:t>
    </w:r>
    <w:r>
      <w:rPr>
        <w:rFonts w:ascii="宋体" w:hAnsi="宋体" w:eastAsia="宋体" w:cs="宋体"/>
        <w:spacing w:val="-44"/>
        <w:sz w:val="32"/>
        <w:szCs w:val="32"/>
      </w:rPr>
      <w:t xml:space="preserve"> </w:t>
    </w:r>
    <w:r>
      <w:rPr>
        <w:rFonts w:ascii="宋体" w:hAnsi="宋体" w:eastAsia="宋体" w:cs="宋体"/>
        <w:color w:val="174B6E"/>
        <w:spacing w:val="-18"/>
        <w:sz w:val="32"/>
        <w:szCs w:val="32"/>
      </w:rPr>
      <w:t>1</w:t>
    </w:r>
    <w:r>
      <w:rPr>
        <w:rFonts w:ascii="宋体" w:hAnsi="宋体" w:eastAsia="宋体" w:cs="宋体"/>
        <w:color w:val="174B6E"/>
        <w:spacing w:val="-23"/>
        <w:sz w:val="32"/>
        <w:szCs w:val="32"/>
      </w:rPr>
      <w:t xml:space="preserve"> </w:t>
    </w:r>
    <w:r>
      <w:rPr>
        <w:rFonts w:ascii="宋体" w:hAnsi="宋体" w:eastAsia="宋体" w:cs="宋体"/>
        <w:spacing w:val="-18"/>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29"/>
      <w:rPr>
        <w:rFonts w:ascii="宋体" w:hAnsi="宋体" w:eastAsia="宋体" w:cs="宋体"/>
        <w:sz w:val="30"/>
        <w:szCs w:val="30"/>
      </w:rPr>
    </w:pPr>
    <w:r>
      <w:rPr>
        <w:rFonts w:ascii="宋体" w:hAnsi="宋体" w:eastAsia="宋体" w:cs="宋体"/>
        <w:color w:val="2B4560"/>
        <w:spacing w:val="-12"/>
        <w:sz w:val="30"/>
        <w:szCs w:val="3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QyZjFhNTA0YThmMDY2ZGJiMWQ1MzA4MzhiODRmZjAifQ=="/>
  </w:docVars>
  <w:rsids>
    <w:rsidRoot w:val="00000000"/>
    <w:rsid w:val="1D065AF7"/>
    <w:rsid w:val="50CE60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2024-02-28T14:20:00Z</dcterms:created>
  <dc:creator>Kingsoft-PDF</dc:creator>
  <cp:lastModifiedBy>katt</cp:lastModifiedBy>
  <dcterms:modified xsi:type="dcterms:W3CDTF">2024-02-28T06:34:42Z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2024-02-28T14:20:10Z</vt:filetime>
  </property>
  <property fmtid="{D5CDD505-2E9C-101B-9397-08002B2CF9AE}" pid="4" name="UsrData">
    <vt:lpwstr>65ded09679f318001fcea40dwl</vt:lpwstr>
  </property>
  <property fmtid="{D5CDD505-2E9C-101B-9397-08002B2CF9AE}" pid="5" name="KSOProductBuildVer">
    <vt:lpwstr>2052-12.1.0.15712</vt:lpwstr>
  </property>
  <property fmtid="{D5CDD505-2E9C-101B-9397-08002B2CF9AE}" pid="6" name="ICV">
    <vt:lpwstr>97966EA3942743A197395F4C581A4715_13</vt:lpwstr>
  </property>
</Properties>
</file>