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FEECA">
      <w:pPr>
        <w:spacing w:line="256" w:lineRule="auto"/>
        <w:rPr>
          <w:rFonts w:ascii="Arial"/>
          <w:sz w:val="21"/>
        </w:rPr>
      </w:pPr>
    </w:p>
    <w:p w14:paraId="4BFADBD7">
      <w:pPr>
        <w:spacing w:line="257" w:lineRule="auto"/>
        <w:rPr>
          <w:rFonts w:ascii="Arial"/>
          <w:sz w:val="21"/>
        </w:rPr>
      </w:pPr>
    </w:p>
    <w:p w14:paraId="5D39AFCD">
      <w:pPr>
        <w:spacing w:line="257" w:lineRule="auto"/>
        <w:rPr>
          <w:rFonts w:ascii="Arial"/>
          <w:sz w:val="21"/>
        </w:rPr>
      </w:pPr>
    </w:p>
    <w:p w14:paraId="32DFA9EE">
      <w:pPr>
        <w:spacing w:line="257" w:lineRule="auto"/>
        <w:rPr>
          <w:rFonts w:ascii="Arial"/>
          <w:sz w:val="21"/>
        </w:rPr>
      </w:pPr>
    </w:p>
    <w:p w14:paraId="626BE47E">
      <w:pPr>
        <w:spacing w:line="257" w:lineRule="auto"/>
        <w:rPr>
          <w:rFonts w:ascii="Arial"/>
          <w:sz w:val="21"/>
        </w:rPr>
      </w:pPr>
    </w:p>
    <w:p w14:paraId="330CC13E">
      <w:pPr>
        <w:spacing w:line="257" w:lineRule="auto"/>
        <w:rPr>
          <w:rFonts w:ascii="Arial"/>
          <w:sz w:val="21"/>
        </w:rPr>
      </w:pPr>
    </w:p>
    <w:p w14:paraId="2A5118CE">
      <w:pPr>
        <w:spacing w:line="257" w:lineRule="auto"/>
        <w:rPr>
          <w:rFonts w:ascii="Arial"/>
          <w:sz w:val="21"/>
        </w:rPr>
      </w:pPr>
    </w:p>
    <w:p w14:paraId="1DDA9350">
      <w:pPr>
        <w:spacing w:line="257" w:lineRule="auto"/>
        <w:rPr>
          <w:rFonts w:ascii="Arial"/>
          <w:sz w:val="21"/>
        </w:rPr>
      </w:pPr>
    </w:p>
    <w:p w14:paraId="05C5BFD7">
      <w:pPr>
        <w:spacing w:line="257" w:lineRule="auto"/>
        <w:rPr>
          <w:rFonts w:ascii="Arial"/>
          <w:sz w:val="21"/>
        </w:rPr>
      </w:pPr>
    </w:p>
    <w:p w14:paraId="396A7B2F">
      <w:pPr>
        <w:spacing w:line="257" w:lineRule="auto"/>
        <w:rPr>
          <w:rFonts w:ascii="Arial"/>
          <w:sz w:val="21"/>
        </w:rPr>
      </w:pPr>
    </w:p>
    <w:p w14:paraId="18A9D64C">
      <w:pPr>
        <w:spacing w:before="485" w:line="239" w:lineRule="auto"/>
        <w:jc w:val="right"/>
        <w:outlineLvl w:val="0"/>
        <w:rPr>
          <w:rFonts w:ascii="方正小标宋_GBK" w:hAnsi="方正小标宋_GBK" w:eastAsia="方正小标宋_GBK" w:cs="方正小标宋_GBK"/>
          <w:sz w:val="130"/>
          <w:szCs w:val="130"/>
        </w:rPr>
      </w:pPr>
      <w:r>
        <w:rPr>
          <w:rFonts w:ascii="方正小标宋_GBK" w:hAnsi="方正小标宋_GBK" w:eastAsia="方正小标宋_GBK" w:cs="方正小标宋_GBK"/>
          <w:b/>
          <w:bCs/>
          <w:color w:val="FF0000"/>
          <w:spacing w:val="-24"/>
          <w:w w:val="69"/>
          <w:sz w:val="130"/>
          <w:szCs w:val="130"/>
        </w:rPr>
        <w:t>重庆市</w:t>
      </w:r>
      <w:r>
        <w:rPr>
          <w:rFonts w:ascii="方正小标宋_GBK" w:hAnsi="方正小标宋_GBK" w:eastAsia="方正小标宋_GBK" w:cs="方正小标宋_GBK"/>
          <w:b/>
          <w:bCs/>
          <w:color w:val="FF0000"/>
          <w:spacing w:val="-23"/>
          <w:w w:val="69"/>
          <w:sz w:val="130"/>
          <w:szCs w:val="130"/>
        </w:rPr>
        <w:t>医疗保障局文</w:t>
      </w:r>
      <w:r>
        <w:rPr>
          <w:rFonts w:ascii="方正小标宋_GBK" w:hAnsi="方正小标宋_GBK" w:eastAsia="方正小标宋_GBK" w:cs="方正小标宋_GBK"/>
          <w:b/>
          <w:bCs/>
          <w:color w:val="FF0000"/>
          <w:w w:val="69"/>
          <w:sz w:val="130"/>
          <w:szCs w:val="130"/>
        </w:rPr>
        <w:t>件</w:t>
      </w:r>
    </w:p>
    <w:p w14:paraId="41EA8C3D">
      <w:pPr>
        <w:spacing w:line="375" w:lineRule="auto"/>
        <w:rPr>
          <w:rFonts w:ascii="Arial"/>
          <w:sz w:val="21"/>
        </w:rPr>
      </w:pPr>
    </w:p>
    <w:p w14:paraId="528972C5">
      <w:pPr>
        <w:pStyle w:val="2"/>
        <w:spacing w:before="113" w:line="507" w:lineRule="exact"/>
        <w:ind w:left="2965"/>
      </w:pPr>
      <w:r>
        <w:rPr>
          <w:spacing w:val="4"/>
          <w:position w:val="4"/>
        </w:rPr>
        <w:t>渝医保发〔</w:t>
      </w:r>
      <w:r>
        <w:rPr>
          <w:rFonts w:ascii="Times New Roman" w:hAnsi="Times New Roman" w:eastAsia="Times New Roman" w:cs="Times New Roman"/>
          <w:spacing w:val="4"/>
          <w:position w:val="4"/>
        </w:rPr>
        <w:t>2025</w:t>
      </w:r>
      <w:r>
        <w:rPr>
          <w:spacing w:val="4"/>
          <w:position w:val="4"/>
        </w:rPr>
        <w:t>〕</w:t>
      </w:r>
      <w:r>
        <w:rPr>
          <w:rFonts w:ascii="Times New Roman" w:hAnsi="Times New Roman" w:eastAsia="Times New Roman" w:cs="Times New Roman"/>
          <w:spacing w:val="4"/>
          <w:position w:val="4"/>
        </w:rPr>
        <w:t>10</w:t>
      </w:r>
      <w:r>
        <w:rPr>
          <w:spacing w:val="4"/>
          <w:position w:val="4"/>
        </w:rPr>
        <w:t>号</w:t>
      </w:r>
    </w:p>
    <w:p w14:paraId="44528F9C">
      <w:pPr>
        <w:spacing w:line="253" w:lineRule="auto"/>
        <w:rPr>
          <w:rFonts w:ascii="Arial"/>
          <w:sz w:val="21"/>
        </w:rPr>
      </w:pPr>
    </w:p>
    <w:p w14:paraId="6B1B1A77">
      <w:pPr>
        <w:spacing w:line="43" w:lineRule="exact"/>
      </w:pPr>
      <w:r>
        <w:pict>
          <v:shape id="_x0000_s1026" o:spid="_x0000_s1026" style="height:2.2pt;width:458.2pt;" filled="f" stroked="t" coordsize="9164,44" path="m0,21l9163,21e">
            <v:fill on="f" focussize="0,0"/>
            <v:stroke weight="2.16pt" color="#FF0000" miterlimit="2" joinstyle="bevel"/>
            <v:imagedata o:title=""/>
            <o:lock v:ext="edit"/>
            <w10:wrap type="none"/>
            <w10:anchorlock/>
          </v:shape>
        </w:pict>
      </w:r>
    </w:p>
    <w:p w14:paraId="74023C8F">
      <w:pPr>
        <w:spacing w:line="267" w:lineRule="auto"/>
        <w:rPr>
          <w:rFonts w:ascii="Arial"/>
          <w:sz w:val="21"/>
        </w:rPr>
      </w:pPr>
    </w:p>
    <w:p w14:paraId="740821F7">
      <w:pPr>
        <w:spacing w:line="268" w:lineRule="auto"/>
        <w:rPr>
          <w:rFonts w:ascii="Arial"/>
          <w:sz w:val="21"/>
        </w:rPr>
      </w:pPr>
    </w:p>
    <w:p w14:paraId="3CD1C101">
      <w:pPr>
        <w:spacing w:before="161" w:line="224" w:lineRule="auto"/>
        <w:ind w:left="2829"/>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重庆市医疗保障局</w:t>
      </w:r>
    </w:p>
    <w:p w14:paraId="1D94AF37">
      <w:pPr>
        <w:spacing w:before="1" w:line="224" w:lineRule="auto"/>
        <w:ind w:left="1063"/>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关于印发《重庆市基本医疗保险门诊</w:t>
      </w:r>
    </w:p>
    <w:p w14:paraId="437C36B0">
      <w:pPr>
        <w:spacing w:line="662" w:lineRule="exact"/>
        <w:ind w:left="1945"/>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6"/>
          <w:position w:val="5"/>
          <w:sz w:val="43"/>
          <w:szCs w:val="43"/>
        </w:rPr>
        <w:t>特殊疾病管理办法》的通知</w:t>
      </w:r>
    </w:p>
    <w:p w14:paraId="7267A757">
      <w:pPr>
        <w:spacing w:line="268" w:lineRule="auto"/>
        <w:rPr>
          <w:rFonts w:ascii="Arial"/>
          <w:sz w:val="21"/>
        </w:rPr>
      </w:pPr>
    </w:p>
    <w:p w14:paraId="26F1800D">
      <w:pPr>
        <w:spacing w:line="268" w:lineRule="auto"/>
        <w:rPr>
          <w:rFonts w:ascii="Arial"/>
          <w:sz w:val="21"/>
        </w:rPr>
      </w:pPr>
    </w:p>
    <w:p w14:paraId="4F44AA5F">
      <w:pPr>
        <w:pStyle w:val="2"/>
        <w:spacing w:before="114" w:line="318" w:lineRule="auto"/>
        <w:ind w:left="180" w:right="162" w:hanging="6"/>
      </w:pPr>
      <w:r>
        <w:rPr>
          <w:spacing w:val="2"/>
        </w:rPr>
        <w:t>各区县（自治县）医疗保障局，两江新区社会保障局、高新区政</w:t>
      </w:r>
      <w:bookmarkStart w:id="0" w:name="_GoBack"/>
      <w:bookmarkEnd w:id="0"/>
      <w:r>
        <w:rPr>
          <w:spacing w:val="8"/>
        </w:rPr>
        <w:t>务服务和社会事务中心、万盛经开区人力社保局：</w:t>
      </w:r>
    </w:p>
    <w:p w14:paraId="3F5EA936">
      <w:pPr>
        <w:pStyle w:val="2"/>
        <w:spacing w:before="2" w:line="321" w:lineRule="auto"/>
        <w:ind w:left="181" w:right="160" w:firstLine="645"/>
        <w:jc w:val="both"/>
      </w:pPr>
      <w:r>
        <w:rPr>
          <w:spacing w:val="17"/>
        </w:rPr>
        <w:t>为保障我市城镇职工基本医疗保险和城乡居民基本医</w:t>
      </w:r>
      <w:r>
        <w:rPr>
          <w:spacing w:val="16"/>
        </w:rPr>
        <w:t>疗保</w:t>
      </w:r>
      <w:r>
        <w:rPr>
          <w:spacing w:val="5"/>
        </w:rPr>
        <w:t>险参保人的门诊特殊疾病医疗费用待遇，加强和规范门诊特殊疾病管理，根据《中共中央国务院关于深化医疗保障制度改革的意</w:t>
      </w:r>
      <w:r>
        <w:rPr>
          <w:spacing w:val="4"/>
        </w:rPr>
        <w:t>见》（中发〔</w:t>
      </w:r>
      <w:r>
        <w:rPr>
          <w:rFonts w:ascii="Times New Roman" w:hAnsi="Times New Roman" w:eastAsia="Times New Roman" w:cs="Times New Roman"/>
          <w:spacing w:val="4"/>
        </w:rPr>
        <w:t>2020</w:t>
      </w:r>
      <w:r>
        <w:rPr>
          <w:spacing w:val="4"/>
        </w:rPr>
        <w:t>〕</w:t>
      </w:r>
      <w:r>
        <w:rPr>
          <w:rFonts w:ascii="Times New Roman" w:hAnsi="Times New Roman" w:eastAsia="Times New Roman" w:cs="Times New Roman"/>
          <w:spacing w:val="4"/>
        </w:rPr>
        <w:t>5</w:t>
      </w:r>
      <w:r>
        <w:rPr>
          <w:spacing w:val="4"/>
        </w:rPr>
        <w:t>号）、《国务院办公厅关于建立</w:t>
      </w:r>
      <w:r>
        <w:rPr>
          <w:spacing w:val="3"/>
        </w:rPr>
        <w:t>健全职工</w:t>
      </w:r>
    </w:p>
    <w:p w14:paraId="4CB02BE1">
      <w:pPr>
        <w:spacing w:line="321" w:lineRule="auto"/>
        <w:sectPr>
          <w:footerReference r:id="rId5" w:type="default"/>
          <w:pgSz w:w="11906" w:h="16839"/>
          <w:pgMar w:top="1431" w:right="1313" w:bottom="1315" w:left="1429" w:header="0" w:footer="947" w:gutter="0"/>
          <w:cols w:space="720" w:num="1"/>
        </w:sectPr>
      </w:pPr>
    </w:p>
    <w:p w14:paraId="24CAFCEE">
      <w:pPr>
        <w:spacing w:line="353" w:lineRule="auto"/>
        <w:rPr>
          <w:rFonts w:ascii="Arial"/>
          <w:sz w:val="21"/>
        </w:rPr>
      </w:pPr>
    </w:p>
    <w:p w14:paraId="4ABBDCE1">
      <w:pPr>
        <w:spacing w:line="353" w:lineRule="auto"/>
        <w:rPr>
          <w:rFonts w:ascii="Arial"/>
          <w:sz w:val="21"/>
        </w:rPr>
      </w:pPr>
    </w:p>
    <w:p w14:paraId="6E32B81A">
      <w:pPr>
        <w:pStyle w:val="2"/>
        <w:spacing w:before="113" w:line="320" w:lineRule="auto"/>
        <w:ind w:left="20" w:hanging="9"/>
        <w:jc w:val="both"/>
        <w:rPr>
          <w:spacing w:val="7"/>
        </w:rPr>
      </w:pPr>
      <w:r>
        <w:rPr>
          <w:spacing w:val="6"/>
        </w:rPr>
        <w:t>基本医疗保险门诊共济保障机制的指导意见》（国办发〔</w:t>
      </w:r>
      <w:r>
        <w:rPr>
          <w:rFonts w:ascii="Times New Roman" w:hAnsi="Times New Roman" w:eastAsia="Times New Roman" w:cs="Times New Roman"/>
          <w:spacing w:val="6"/>
        </w:rPr>
        <w:t>2021</w:t>
      </w:r>
      <w:r>
        <w:rPr>
          <w:spacing w:val="6"/>
        </w:rPr>
        <w:t>〕</w:t>
      </w:r>
      <w:r>
        <w:rPr>
          <w:rFonts w:ascii="Times New Roman" w:hAnsi="Times New Roman" w:eastAsia="Times New Roman" w:cs="Times New Roman"/>
          <w:spacing w:val="12"/>
        </w:rPr>
        <w:t>14</w:t>
      </w:r>
      <w:r>
        <w:rPr>
          <w:spacing w:val="12"/>
        </w:rPr>
        <w:t>号）等文件规定，制定《重庆市基本医疗保险门诊</w:t>
      </w:r>
      <w:r>
        <w:rPr>
          <w:spacing w:val="11"/>
        </w:rPr>
        <w:t>特殊疾病</w:t>
      </w:r>
      <w:r>
        <w:rPr>
          <w:spacing w:val="7"/>
        </w:rPr>
        <w:t>管理办法》，现印发你们，请认真遵照执行。</w:t>
      </w:r>
    </w:p>
    <w:p w14:paraId="46155250">
      <w:pPr>
        <w:pStyle w:val="2"/>
        <w:keepNext w:val="0"/>
        <w:keepLines w:val="0"/>
        <w:pageBreakBefore w:val="0"/>
        <w:widowControl/>
        <w:kinsoku w:val="0"/>
        <w:wordWrap/>
        <w:overflowPunct/>
        <w:topLinePunct w:val="0"/>
        <w:autoSpaceDE w:val="0"/>
        <w:autoSpaceDN w:val="0"/>
        <w:bidi w:val="0"/>
        <w:adjustRightInd w:val="0"/>
        <w:snapToGrid w:val="0"/>
        <w:spacing w:before="113" w:line="579" w:lineRule="exact"/>
        <w:ind w:left="0" w:right="420" w:rightChars="200" w:firstLine="648" w:firstLineChars="200"/>
        <w:jc w:val="right"/>
        <w:textAlignment w:val="baseline"/>
        <w:rPr>
          <w:rFonts w:hint="eastAsia"/>
          <w:spacing w:val="7"/>
          <w:lang w:val="en-US" w:eastAsia="zh-CN"/>
        </w:rPr>
      </w:pPr>
      <w:r>
        <w:rPr>
          <w:rFonts w:hint="eastAsia"/>
          <w:spacing w:val="7"/>
          <w:lang w:val="en-US" w:eastAsia="zh-CN"/>
        </w:rPr>
        <w:t>重庆市医疗保障局</w:t>
      </w:r>
    </w:p>
    <w:p w14:paraId="34C0B616">
      <w:pPr>
        <w:pStyle w:val="2"/>
        <w:spacing w:before="113" w:line="320" w:lineRule="auto"/>
        <w:ind w:left="313" w:leftChars="149" w:firstLine="6095" w:firstLineChars="1893"/>
        <w:jc w:val="both"/>
        <w:rPr>
          <w:rFonts w:hint="default" w:ascii="宋体" w:hAnsi="宋体"/>
          <w:spacing w:val="6"/>
          <w:lang w:val="en-US" w:eastAsia="zh-CN"/>
        </w:rPr>
      </w:pPr>
      <w:r>
        <w:rPr>
          <w:rFonts w:hint="eastAsia" w:ascii="宋体" w:hAnsi="宋体"/>
          <w:spacing w:val="6"/>
          <w:lang w:val="en-US" w:eastAsia="zh-CN"/>
        </w:rPr>
        <w:t>2025年3月25日</w:t>
      </w:r>
    </w:p>
    <w:p w14:paraId="24D90DA3">
      <w:pPr>
        <w:pStyle w:val="2"/>
        <w:spacing w:before="203" w:line="2551" w:lineRule="exact"/>
        <w:ind w:firstLine="5012"/>
      </w:pPr>
      <w:r>
        <w:pict>
          <v:shape id="_x0000_s1027" o:spid="_x0000_s1027" o:spt="202" type="#_x0000_t202" style="position:absolute;left:0pt;margin-left:30.1pt;margin-top:120.4pt;height:24.45pt;width:130.8pt;z-index:251659264;mso-width-relative:page;mso-height-relative:page;" filled="f" stroked="f" coordsize="21600,21600">
            <v:path/>
            <v:fill on="f" focussize="0,0"/>
            <v:stroke on="f"/>
            <v:imagedata o:title=""/>
            <o:lock v:ext="edit" aspectratio="f"/>
            <v:textbox inset="0mm,0mm,0mm,0mm">
              <w:txbxContent>
                <w:p w14:paraId="04F7BED6">
                  <w:pPr>
                    <w:pStyle w:val="2"/>
                    <w:spacing w:before="20" w:line="237" w:lineRule="auto"/>
                    <w:ind w:left="20"/>
                    <w:outlineLvl w:val="0"/>
                  </w:pPr>
                  <w:r>
                    <w:rPr>
                      <w:spacing w:val="11"/>
                    </w:rPr>
                    <w:t>（此件公开发布）</w:t>
                  </w:r>
                </w:p>
              </w:txbxContent>
            </v:textbox>
          </v:shape>
        </w:pict>
      </w:r>
    </w:p>
    <w:p w14:paraId="14BF4CA0">
      <w:pPr>
        <w:spacing w:line="2551" w:lineRule="exact"/>
        <w:sectPr>
          <w:footerReference r:id="rId6" w:type="default"/>
          <w:pgSz w:w="11906" w:h="16839"/>
          <w:pgMar w:top="1431" w:right="1357" w:bottom="1315" w:left="1595" w:header="0" w:footer="947" w:gutter="0"/>
          <w:cols w:space="720" w:num="1"/>
        </w:sectPr>
      </w:pPr>
    </w:p>
    <w:p w14:paraId="1D0655E9">
      <w:pPr>
        <w:spacing w:line="302" w:lineRule="auto"/>
        <w:rPr>
          <w:rFonts w:ascii="Arial"/>
          <w:sz w:val="21"/>
        </w:rPr>
      </w:pPr>
    </w:p>
    <w:p w14:paraId="5F6613A0">
      <w:pPr>
        <w:spacing w:line="302" w:lineRule="auto"/>
        <w:rPr>
          <w:rFonts w:ascii="Arial"/>
          <w:sz w:val="21"/>
        </w:rPr>
      </w:pPr>
    </w:p>
    <w:p w14:paraId="39F9DFE7">
      <w:pPr>
        <w:spacing w:before="160" w:line="214" w:lineRule="auto"/>
        <w:ind w:left="261"/>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重庆市基本医疗保险门诊特殊疾病管理办法</w:t>
      </w:r>
    </w:p>
    <w:p w14:paraId="2246EA2A">
      <w:pPr>
        <w:spacing w:line="307" w:lineRule="auto"/>
        <w:rPr>
          <w:rFonts w:ascii="Arial"/>
          <w:sz w:val="21"/>
        </w:rPr>
      </w:pPr>
    </w:p>
    <w:p w14:paraId="0E6230B5">
      <w:pPr>
        <w:spacing w:line="308" w:lineRule="auto"/>
        <w:rPr>
          <w:rFonts w:ascii="Arial"/>
          <w:sz w:val="21"/>
        </w:rPr>
      </w:pPr>
    </w:p>
    <w:p w14:paraId="24646E20">
      <w:pPr>
        <w:spacing w:before="115" w:line="468" w:lineRule="exact"/>
        <w:ind w:left="3488"/>
        <w:rPr>
          <w:rFonts w:ascii="方正黑体_GBK" w:hAnsi="方正黑体_GBK" w:eastAsia="方正黑体_GBK" w:cs="方正黑体_GBK"/>
          <w:sz w:val="31"/>
          <w:szCs w:val="31"/>
        </w:rPr>
      </w:pPr>
      <w:r>
        <w:rPr>
          <w:rFonts w:ascii="方正黑体_GBK" w:hAnsi="方正黑体_GBK" w:eastAsia="方正黑体_GBK" w:cs="方正黑体_GBK"/>
          <w:spacing w:val="1"/>
          <w:position w:val="3"/>
          <w:sz w:val="31"/>
          <w:szCs w:val="31"/>
        </w:rPr>
        <w:t>第一章总则</w:t>
      </w:r>
    </w:p>
    <w:p w14:paraId="13149068">
      <w:pPr>
        <w:spacing w:line="330" w:lineRule="auto"/>
        <w:rPr>
          <w:rFonts w:ascii="Arial"/>
          <w:sz w:val="21"/>
        </w:rPr>
      </w:pPr>
    </w:p>
    <w:p w14:paraId="1A55850E">
      <w:pPr>
        <w:spacing w:line="330" w:lineRule="auto"/>
        <w:rPr>
          <w:rFonts w:ascii="Arial"/>
          <w:sz w:val="21"/>
        </w:rPr>
      </w:pPr>
    </w:p>
    <w:p w14:paraId="2A2F9FF5">
      <w:pPr>
        <w:pStyle w:val="2"/>
        <w:spacing w:before="113" w:line="315" w:lineRule="auto"/>
        <w:ind w:firstLine="681"/>
      </w:pPr>
      <w:r>
        <w:rPr>
          <w:spacing w:val="3"/>
        </w:rPr>
        <w:t>第一条为保障我市城镇职工基本医疗保险（以下简称“职</w:t>
      </w:r>
      <w:r>
        <w:rPr>
          <w:spacing w:val="9"/>
        </w:rPr>
        <w:t>工医保”）和城乡居民基本医疗保险（以下</w:t>
      </w:r>
      <w:r>
        <w:rPr>
          <w:spacing w:val="8"/>
        </w:rPr>
        <w:t>简称“居民医保”）</w:t>
      </w:r>
      <w:r>
        <w:rPr>
          <w:spacing w:val="6"/>
        </w:rPr>
        <w:t>参保人门诊特殊疾病医疗费用待遇，加强和规范门诊特殊疾病管</w:t>
      </w:r>
      <w:r>
        <w:rPr>
          <w:spacing w:val="11"/>
        </w:rPr>
        <w:t>理，根据《中共中央国务院关于深化医疗保障制度改革的意见》</w:t>
      </w:r>
      <w:r>
        <w:rPr>
          <w:spacing w:val="8"/>
        </w:rPr>
        <w:t>（中发〔</w:t>
      </w:r>
      <w:r>
        <w:rPr>
          <w:rFonts w:ascii="Times New Roman" w:hAnsi="Times New Roman" w:eastAsia="Times New Roman" w:cs="Times New Roman"/>
          <w:spacing w:val="8"/>
        </w:rPr>
        <w:t>2020</w:t>
      </w:r>
      <w:r>
        <w:rPr>
          <w:spacing w:val="8"/>
        </w:rPr>
        <w:t>〕</w:t>
      </w:r>
      <w:r>
        <w:rPr>
          <w:rFonts w:ascii="Times New Roman" w:hAnsi="Times New Roman" w:eastAsia="Times New Roman" w:cs="Times New Roman"/>
          <w:spacing w:val="8"/>
        </w:rPr>
        <w:t>5</w:t>
      </w:r>
      <w:r>
        <w:rPr>
          <w:spacing w:val="8"/>
        </w:rPr>
        <w:t>号）、《国务院办公厅关于建立健全职工基本</w:t>
      </w:r>
      <w:r>
        <w:rPr>
          <w:spacing w:val="13"/>
        </w:rPr>
        <w:t>医疗保险门诊共济保障机制的指导意见》（国办发〔</w:t>
      </w:r>
      <w:r>
        <w:rPr>
          <w:rFonts w:ascii="Times New Roman" w:hAnsi="Times New Roman" w:eastAsia="Times New Roman" w:cs="Times New Roman"/>
          <w:spacing w:val="13"/>
        </w:rPr>
        <w:t>2</w:t>
      </w:r>
      <w:r>
        <w:rPr>
          <w:rFonts w:ascii="Times New Roman" w:hAnsi="Times New Roman" w:eastAsia="Times New Roman" w:cs="Times New Roman"/>
          <w:spacing w:val="12"/>
        </w:rPr>
        <w:t>021</w:t>
      </w:r>
      <w:r>
        <w:rPr>
          <w:spacing w:val="12"/>
        </w:rPr>
        <w:t>〕</w:t>
      </w:r>
      <w:r>
        <w:rPr>
          <w:rFonts w:ascii="Times New Roman" w:hAnsi="Times New Roman" w:eastAsia="Times New Roman" w:cs="Times New Roman"/>
          <w:spacing w:val="12"/>
        </w:rPr>
        <w:t>14</w:t>
      </w:r>
      <w:r>
        <w:rPr>
          <w:spacing w:val="9"/>
        </w:rPr>
        <w:t>号）等文件规定，制定本办法。</w:t>
      </w:r>
    </w:p>
    <w:p w14:paraId="090E2790">
      <w:pPr>
        <w:pStyle w:val="2"/>
        <w:spacing w:before="172" w:line="313" w:lineRule="auto"/>
        <w:ind w:left="28" w:right="133" w:firstLine="653"/>
      </w:pPr>
      <w:r>
        <w:rPr>
          <w:spacing w:val="5"/>
        </w:rPr>
        <w:t>第二条本办法所称门诊特殊疾病，是指需要长期在门诊治疗、纳入我市基本医疗保险基金支付范围的疾病病种。门诊特殊疾病病种实行动态管理，在确保医保基金收支平衡、风险总体可控的前提下，将部分治疗周期长、对健康损害大、费用负担重的</w:t>
      </w:r>
      <w:r>
        <w:rPr>
          <w:spacing w:val="17"/>
        </w:rPr>
        <w:t>疾病发生的门诊费用纳入保障范围，不断健全门</w:t>
      </w:r>
      <w:r>
        <w:rPr>
          <w:spacing w:val="16"/>
        </w:rPr>
        <w:t>诊共济保障机</w:t>
      </w:r>
      <w:r>
        <w:rPr>
          <w:spacing w:val="8"/>
        </w:rPr>
        <w:t>制，逐步由病种保障向费用保障过渡。</w:t>
      </w:r>
    </w:p>
    <w:p w14:paraId="5A3B75D3">
      <w:pPr>
        <w:pStyle w:val="2"/>
        <w:spacing w:before="176" w:line="297" w:lineRule="auto"/>
        <w:ind w:left="28" w:right="133" w:firstLine="653"/>
      </w:pPr>
      <w:r>
        <w:rPr>
          <w:spacing w:val="2"/>
        </w:rPr>
        <w:t>第三条门诊特殊疾病实行分类管理，按照定病种、</w:t>
      </w:r>
      <w:r>
        <w:rPr>
          <w:spacing w:val="1"/>
        </w:rPr>
        <w:t>定诊疗</w:t>
      </w:r>
      <w:r>
        <w:rPr>
          <w:spacing w:val="2"/>
        </w:rPr>
        <w:t>项目、定药品类别的原则，建立《重庆市基本医疗保险门诊特殊</w:t>
      </w:r>
      <w:r>
        <w:rPr>
          <w:spacing w:val="6"/>
        </w:rPr>
        <w:t>疾病保障指南》（另行公布，以下简称“《保障指南》”</w:t>
      </w:r>
      <w:r>
        <w:rPr>
          <w:spacing w:val="-5"/>
        </w:rPr>
        <w:t>），</w:t>
      </w:r>
      <w:r>
        <w:rPr>
          <w:spacing w:val="6"/>
        </w:rPr>
        <w:t>包</w:t>
      </w:r>
    </w:p>
    <w:p w14:paraId="1C8212A9">
      <w:pPr>
        <w:spacing w:line="297" w:lineRule="auto"/>
        <w:sectPr>
          <w:footerReference r:id="rId7" w:type="default"/>
          <w:pgSz w:w="11906" w:h="16839"/>
          <w:pgMar w:top="1431" w:right="1340" w:bottom="1315" w:left="1577" w:header="0" w:footer="949" w:gutter="0"/>
          <w:cols w:space="720" w:num="1"/>
        </w:sectPr>
      </w:pPr>
    </w:p>
    <w:p w14:paraId="60206E83">
      <w:pPr>
        <w:spacing w:line="255" w:lineRule="auto"/>
        <w:rPr>
          <w:rFonts w:ascii="Arial"/>
          <w:sz w:val="21"/>
        </w:rPr>
      </w:pPr>
    </w:p>
    <w:p w14:paraId="14DED407">
      <w:pPr>
        <w:spacing w:line="255" w:lineRule="auto"/>
        <w:rPr>
          <w:rFonts w:ascii="Arial"/>
          <w:sz w:val="21"/>
        </w:rPr>
      </w:pPr>
    </w:p>
    <w:p w14:paraId="79EEFDAA">
      <w:pPr>
        <w:spacing w:line="255" w:lineRule="auto"/>
        <w:rPr>
          <w:rFonts w:ascii="Arial"/>
          <w:sz w:val="21"/>
        </w:rPr>
      </w:pPr>
    </w:p>
    <w:p w14:paraId="6C64712E">
      <w:pPr>
        <w:pStyle w:val="2"/>
        <w:spacing w:before="113" w:line="328" w:lineRule="auto"/>
        <w:ind w:firstLine="24"/>
        <w:jc w:val="both"/>
      </w:pPr>
      <w:r>
        <w:rPr>
          <w:spacing w:val="5"/>
        </w:rPr>
        <w:t>含病种的诊断标准、医保报销范围等内容，并依据各病种临床指</w:t>
      </w:r>
      <w:r>
        <w:rPr>
          <w:spacing w:val="18"/>
        </w:rPr>
        <w:t>南及诊疗规范适时调整发布。我市职工医保和居民医</w:t>
      </w:r>
      <w:r>
        <w:rPr>
          <w:spacing w:val="17"/>
        </w:rPr>
        <w:t>保参保人</w:t>
      </w:r>
      <w:r>
        <w:rPr>
          <w:spacing w:val="4"/>
        </w:rPr>
        <w:t>（以下简称“参保人”</w:t>
      </w:r>
      <w:r>
        <w:rPr>
          <w:spacing w:val="24"/>
        </w:rPr>
        <w:t>），</w:t>
      </w:r>
      <w:r>
        <w:rPr>
          <w:spacing w:val="4"/>
        </w:rPr>
        <w:t>患门诊特殊疾病病种范围内的疾病，</w:t>
      </w:r>
      <w:r>
        <w:rPr>
          <w:spacing w:val="6"/>
        </w:rPr>
        <w:t>可自愿申请办理门诊特殊疾病，经诊断符合《保障指南》诊断标</w:t>
      </w:r>
      <w:r>
        <w:rPr>
          <w:spacing w:val="9"/>
        </w:rPr>
        <w:t>准的按规定享受相关待遇。</w:t>
      </w:r>
    </w:p>
    <w:p w14:paraId="7E2F7BA3">
      <w:pPr>
        <w:pStyle w:val="2"/>
        <w:spacing w:before="1" w:line="328" w:lineRule="auto"/>
        <w:ind w:left="32" w:right="54" w:firstLine="648"/>
      </w:pPr>
      <w:r>
        <w:rPr>
          <w:spacing w:val="14"/>
        </w:rPr>
        <w:t>第四条市医疗保障行政部门负责制定和调整门诊特殊疾</w:t>
      </w:r>
      <w:r>
        <w:rPr>
          <w:spacing w:val="7"/>
        </w:rPr>
        <w:t>病政策，并指导监督实施。</w:t>
      </w:r>
    </w:p>
    <w:p w14:paraId="72FF9DAD">
      <w:pPr>
        <w:pStyle w:val="2"/>
        <w:spacing w:before="2" w:line="327" w:lineRule="auto"/>
        <w:ind w:left="34" w:right="54" w:firstLine="648"/>
      </w:pPr>
      <w:r>
        <w:rPr>
          <w:spacing w:val="17"/>
        </w:rPr>
        <w:t>市医保经办机构负责制定我市基本医疗保险</w:t>
      </w:r>
      <w:r>
        <w:rPr>
          <w:spacing w:val="16"/>
        </w:rPr>
        <w:t>门诊特殊疾病</w:t>
      </w:r>
      <w:r>
        <w:rPr>
          <w:spacing w:val="8"/>
        </w:rPr>
        <w:t>经办规程，并指导区县医保经办机构开展经办工作。</w:t>
      </w:r>
    </w:p>
    <w:p w14:paraId="19E773A7">
      <w:pPr>
        <w:pStyle w:val="2"/>
        <w:spacing w:before="1" w:line="328" w:lineRule="auto"/>
        <w:ind w:left="30" w:right="54" w:firstLine="679"/>
      </w:pPr>
      <w:r>
        <w:rPr>
          <w:spacing w:val="15"/>
        </w:rPr>
        <w:t>区县医疗保障行政部门负责本区县门诊特殊疾病政策实施</w:t>
      </w:r>
      <w:r>
        <w:rPr>
          <w:spacing w:val="5"/>
        </w:rPr>
        <w:t>和监督管理工作。</w:t>
      </w:r>
    </w:p>
    <w:p w14:paraId="466A24A8">
      <w:pPr>
        <w:pStyle w:val="2"/>
        <w:spacing w:before="1" w:line="334" w:lineRule="auto"/>
        <w:ind w:left="29" w:right="54" w:firstLine="680"/>
      </w:pPr>
      <w:r>
        <w:rPr>
          <w:spacing w:val="3"/>
        </w:rPr>
        <w:t>区县医保经办机构按照协议管理原则，负责医保定点医药机</w:t>
      </w:r>
      <w:r>
        <w:rPr>
          <w:spacing w:val="8"/>
        </w:rPr>
        <w:t>构门诊特殊疾病的费用审核、费用结算等工作。</w:t>
      </w:r>
    </w:p>
    <w:p w14:paraId="6225354D">
      <w:pPr>
        <w:spacing w:line="473" w:lineRule="auto"/>
        <w:rPr>
          <w:rFonts w:ascii="Arial"/>
          <w:sz w:val="21"/>
        </w:rPr>
      </w:pPr>
    </w:p>
    <w:p w14:paraId="1EE696FB">
      <w:pPr>
        <w:spacing w:before="116" w:line="242" w:lineRule="auto"/>
        <w:ind w:left="3167"/>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t>第二章病种管理</w:t>
      </w:r>
    </w:p>
    <w:p w14:paraId="2AB34E98">
      <w:pPr>
        <w:spacing w:line="331" w:lineRule="auto"/>
        <w:rPr>
          <w:rFonts w:ascii="Arial"/>
          <w:sz w:val="21"/>
        </w:rPr>
      </w:pPr>
    </w:p>
    <w:p w14:paraId="0EF786F0">
      <w:pPr>
        <w:spacing w:line="331" w:lineRule="auto"/>
        <w:rPr>
          <w:rFonts w:ascii="Arial"/>
          <w:sz w:val="21"/>
        </w:rPr>
      </w:pPr>
    </w:p>
    <w:p w14:paraId="18CB1CD2">
      <w:pPr>
        <w:pStyle w:val="2"/>
        <w:spacing w:before="114" w:line="282" w:lineRule="auto"/>
        <w:ind w:left="32" w:right="54" w:firstLine="648"/>
      </w:pPr>
      <w:r>
        <w:rPr>
          <w:spacing w:val="15"/>
        </w:rPr>
        <w:t>第五条我市职工医保和居民医保采用统一的门诊特殊疾</w:t>
      </w:r>
      <w:r>
        <w:rPr>
          <w:spacing w:val="4"/>
        </w:rPr>
        <w:t>病病种、诊断标准、医保报销范围。</w:t>
      </w:r>
    </w:p>
    <w:p w14:paraId="37713E30">
      <w:pPr>
        <w:pStyle w:val="2"/>
        <w:spacing w:before="172" w:line="284" w:lineRule="auto"/>
        <w:ind w:left="29" w:right="54" w:firstLine="651"/>
      </w:pPr>
      <w:r>
        <w:rPr>
          <w:spacing w:val="5"/>
        </w:rPr>
        <w:t>第六条我市门诊特殊疾病分为一类病种和二类病种（见附</w:t>
      </w:r>
      <w:r>
        <w:rPr>
          <w:spacing w:val="-4"/>
        </w:rPr>
        <w:t>件）。</w:t>
      </w:r>
    </w:p>
    <w:p w14:paraId="44D6ECF4">
      <w:pPr>
        <w:spacing w:line="284" w:lineRule="auto"/>
        <w:sectPr>
          <w:footerReference r:id="rId8" w:type="default"/>
          <w:pgSz w:w="11906" w:h="16839"/>
          <w:pgMar w:top="1431" w:right="1421" w:bottom="1315" w:left="1577" w:header="0" w:footer="947" w:gutter="0"/>
          <w:cols w:space="720" w:num="1"/>
        </w:sectPr>
      </w:pPr>
    </w:p>
    <w:p w14:paraId="358C4ACB">
      <w:pPr>
        <w:spacing w:line="255" w:lineRule="auto"/>
        <w:rPr>
          <w:rFonts w:ascii="Arial"/>
          <w:sz w:val="21"/>
        </w:rPr>
      </w:pPr>
    </w:p>
    <w:p w14:paraId="44B40677">
      <w:pPr>
        <w:spacing w:line="255" w:lineRule="auto"/>
        <w:rPr>
          <w:rFonts w:ascii="Arial"/>
          <w:sz w:val="21"/>
        </w:rPr>
      </w:pPr>
    </w:p>
    <w:p w14:paraId="3E8C05AE">
      <w:pPr>
        <w:spacing w:line="255" w:lineRule="auto"/>
        <w:rPr>
          <w:rFonts w:ascii="Arial"/>
          <w:sz w:val="21"/>
        </w:rPr>
      </w:pPr>
    </w:p>
    <w:p w14:paraId="7713AC55">
      <w:pPr>
        <w:pStyle w:val="2"/>
        <w:spacing w:before="113" w:line="328" w:lineRule="auto"/>
        <w:ind w:right="52" w:firstLine="661"/>
        <w:jc w:val="both"/>
      </w:pPr>
      <w:r>
        <w:rPr>
          <w:spacing w:val="16"/>
        </w:rPr>
        <w:t>随单位参保和以个人身份参加职工医保二档人员可申请办</w:t>
      </w:r>
      <w:r>
        <w:rPr>
          <w:spacing w:val="5"/>
        </w:rPr>
        <w:t>理一类病种和二类病种；以个人身份参加职工医保一档人员限申请办理慢性肾衰竭血液净化治疗、器官移植术后抗排异治疗、恶</w:t>
      </w:r>
      <w:r>
        <w:rPr>
          <w:spacing w:val="8"/>
        </w:rPr>
        <w:t>性肿瘤、血友病四种门诊特殊疾病病种。</w:t>
      </w:r>
    </w:p>
    <w:p w14:paraId="2AA234F4">
      <w:pPr>
        <w:pStyle w:val="2"/>
        <w:spacing w:before="1" w:line="236" w:lineRule="auto"/>
        <w:ind w:left="644"/>
      </w:pPr>
      <w:r>
        <w:rPr>
          <w:spacing w:val="8"/>
        </w:rPr>
        <w:t>居民医保参保人员可申请办理一类病种和二类病种。</w:t>
      </w:r>
    </w:p>
    <w:p w14:paraId="0DA2B8C2">
      <w:pPr>
        <w:spacing w:line="333" w:lineRule="auto"/>
        <w:rPr>
          <w:rFonts w:ascii="Arial"/>
          <w:sz w:val="21"/>
        </w:rPr>
      </w:pPr>
    </w:p>
    <w:p w14:paraId="01E8BBD1">
      <w:pPr>
        <w:spacing w:line="333" w:lineRule="auto"/>
        <w:rPr>
          <w:rFonts w:ascii="Arial"/>
          <w:sz w:val="21"/>
        </w:rPr>
      </w:pPr>
    </w:p>
    <w:p w14:paraId="34F36161">
      <w:pPr>
        <w:spacing w:before="116" w:line="241" w:lineRule="auto"/>
        <w:ind w:left="3141"/>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t>第三章诊断管理</w:t>
      </w:r>
    </w:p>
    <w:p w14:paraId="545A0215">
      <w:pPr>
        <w:spacing w:line="330" w:lineRule="auto"/>
        <w:rPr>
          <w:rFonts w:ascii="Arial"/>
          <w:sz w:val="21"/>
        </w:rPr>
      </w:pPr>
    </w:p>
    <w:p w14:paraId="44C37382">
      <w:pPr>
        <w:spacing w:line="331" w:lineRule="auto"/>
        <w:rPr>
          <w:rFonts w:ascii="Arial"/>
          <w:sz w:val="21"/>
        </w:rPr>
      </w:pPr>
    </w:p>
    <w:p w14:paraId="21CC0D52">
      <w:pPr>
        <w:pStyle w:val="2"/>
        <w:spacing w:before="113" w:line="310" w:lineRule="auto"/>
        <w:ind w:left="2" w:right="52" w:firstLine="653"/>
      </w:pPr>
      <w:r>
        <w:rPr>
          <w:spacing w:val="5"/>
        </w:rPr>
        <w:t>第七条各级医保经办机构根据医疗机构执业范围、医疗服务能力、门诊特殊疾病诊断所需设施设备及信息系统建设是否符合规定等条件，确定医疗机构相应门诊特殊疾病诊断资格并进行公示。医保经办机构应加强门诊特殊疾病诊断医疗机构管理，将</w:t>
      </w:r>
      <w:r>
        <w:rPr>
          <w:spacing w:val="8"/>
        </w:rPr>
        <w:t>门诊特殊疾病诊断服务纳入定点协议管理。</w:t>
      </w:r>
    </w:p>
    <w:p w14:paraId="667A0DBC">
      <w:pPr>
        <w:pStyle w:val="2"/>
        <w:spacing w:before="174" w:line="282" w:lineRule="auto"/>
        <w:ind w:left="18" w:right="54" w:firstLine="637"/>
      </w:pPr>
      <w:r>
        <w:rPr>
          <w:spacing w:val="5"/>
        </w:rPr>
        <w:t>第八条按照自愿申请、全市通办原则，参保人可向医保经</w:t>
      </w:r>
      <w:r>
        <w:rPr>
          <w:spacing w:val="8"/>
        </w:rPr>
        <w:t>办机构或医保经办机构指定的医疗机构提出办理申请。</w:t>
      </w:r>
    </w:p>
    <w:p w14:paraId="7D7B110A">
      <w:pPr>
        <w:pStyle w:val="2"/>
        <w:spacing w:before="176" w:line="331" w:lineRule="auto"/>
        <w:ind w:firstLine="694"/>
        <w:jc w:val="both"/>
      </w:pPr>
      <w:r>
        <w:rPr>
          <w:spacing w:val="15"/>
        </w:rPr>
        <w:t>申请人携带身份证明及病史资料到门诊特殊疾病诊断医疗</w:t>
      </w:r>
      <w:r>
        <w:rPr>
          <w:spacing w:val="5"/>
        </w:rPr>
        <w:t>机构进行诊断，委托他人办理的，被委托人需携带申请人和被委托人身份证明。诊断医疗机构按照门诊特殊疾病诊断标准为申请人进行诊断并出具诊断结论，将符合申请病种诊断标准的参保人病种信息录入医保信息系统，即时开通门诊特殊疾病待遇资格，</w:t>
      </w:r>
    </w:p>
    <w:p w14:paraId="25F13FDA">
      <w:pPr>
        <w:spacing w:line="331" w:lineRule="auto"/>
        <w:sectPr>
          <w:footerReference r:id="rId9" w:type="default"/>
          <w:pgSz w:w="11906" w:h="16839"/>
          <w:pgMar w:top="1431" w:right="1421" w:bottom="1315" w:left="1602" w:header="0" w:footer="949" w:gutter="0"/>
          <w:cols w:space="720" w:num="1"/>
        </w:sectPr>
      </w:pPr>
    </w:p>
    <w:p w14:paraId="5487AEAB">
      <w:pPr>
        <w:spacing w:line="254" w:lineRule="auto"/>
        <w:rPr>
          <w:rFonts w:ascii="Arial"/>
          <w:sz w:val="21"/>
        </w:rPr>
      </w:pPr>
    </w:p>
    <w:p w14:paraId="0120E759">
      <w:pPr>
        <w:spacing w:line="254" w:lineRule="auto"/>
        <w:rPr>
          <w:rFonts w:ascii="Arial"/>
          <w:sz w:val="21"/>
        </w:rPr>
      </w:pPr>
    </w:p>
    <w:p w14:paraId="779DEA08">
      <w:pPr>
        <w:spacing w:line="255" w:lineRule="auto"/>
        <w:rPr>
          <w:rFonts w:ascii="Arial"/>
          <w:sz w:val="21"/>
        </w:rPr>
      </w:pPr>
    </w:p>
    <w:p w14:paraId="7D5EBD1B">
      <w:pPr>
        <w:pStyle w:val="2"/>
        <w:spacing w:before="113" w:line="328" w:lineRule="auto"/>
        <w:ind w:left="7" w:right="49" w:firstLine="11"/>
        <w:jc w:val="both"/>
      </w:pPr>
      <w:r>
        <w:rPr>
          <w:spacing w:val="7"/>
        </w:rPr>
        <w:t>并按规定将有关诊断资料存档。对不能满足诊断</w:t>
      </w:r>
      <w:r>
        <w:rPr>
          <w:spacing w:val="6"/>
        </w:rPr>
        <w:t>标准的申请人，</w:t>
      </w:r>
      <w:r>
        <w:rPr>
          <w:spacing w:val="5"/>
        </w:rPr>
        <w:t>由诊断医疗机构予以书面告知并退还相关资料。诊断医疗机构提</w:t>
      </w:r>
      <w:r>
        <w:rPr>
          <w:spacing w:val="8"/>
        </w:rPr>
        <w:t>供的门诊特殊疾病诊断服务可按门诊诊查收费。</w:t>
      </w:r>
    </w:p>
    <w:p w14:paraId="7BC5D643">
      <w:pPr>
        <w:pStyle w:val="2"/>
        <w:spacing w:before="1" w:line="328" w:lineRule="auto"/>
        <w:ind w:left="18" w:right="101" w:firstLine="683"/>
        <w:jc w:val="both"/>
      </w:pPr>
      <w:r>
        <w:rPr>
          <w:spacing w:val="3"/>
        </w:rPr>
        <w:t>申请人经治疗后病情稳定但仍需长期治疗的，现场</w:t>
      </w:r>
      <w:r>
        <w:rPr>
          <w:spacing w:val="2"/>
        </w:rPr>
        <w:t>检查达不</w:t>
      </w:r>
      <w:r>
        <w:rPr>
          <w:spacing w:val="5"/>
        </w:rPr>
        <w:t>到诊断标准时，需按诊断医师要求提供既往检验检查资料</w:t>
      </w:r>
      <w:r>
        <w:rPr>
          <w:spacing w:val="4"/>
        </w:rPr>
        <w:t>及用药</w:t>
      </w:r>
      <w:r>
        <w:rPr>
          <w:spacing w:val="5"/>
        </w:rPr>
        <w:t>治疗的相关资料。</w:t>
      </w:r>
    </w:p>
    <w:p w14:paraId="419A1D29">
      <w:pPr>
        <w:pStyle w:val="2"/>
        <w:spacing w:before="5" w:line="304" w:lineRule="auto"/>
        <w:ind w:left="10" w:right="101" w:firstLine="653"/>
      </w:pPr>
      <w:r>
        <w:rPr>
          <w:spacing w:val="5"/>
        </w:rPr>
        <w:t>第九条参保人对诊断结论有异议的，应在收到诊断结论之</w:t>
      </w:r>
      <w:r>
        <w:t>日起</w:t>
      </w:r>
      <w:r>
        <w:rPr>
          <w:rFonts w:ascii="Times New Roman" w:hAnsi="Times New Roman" w:eastAsia="Times New Roman" w:cs="Times New Roman"/>
        </w:rPr>
        <w:t>60</w:t>
      </w:r>
      <w:r>
        <w:t>日内，向与诊断医疗机构签订协议的医保经办机构提出复</w:t>
      </w:r>
      <w:r>
        <w:rPr>
          <w:spacing w:val="5"/>
        </w:rPr>
        <w:t>核申请。受理复核申请的医保经办机构应组织其他门诊特殊疾病</w:t>
      </w:r>
      <w:r>
        <w:rPr>
          <w:spacing w:val="8"/>
        </w:rPr>
        <w:t>诊断医疗机构进行复核，复核结论为最终诊断结论。</w:t>
      </w:r>
    </w:p>
    <w:p w14:paraId="188F2475">
      <w:pPr>
        <w:pStyle w:val="2"/>
        <w:spacing w:before="177" w:line="310" w:lineRule="auto"/>
        <w:ind w:left="7" w:firstLine="655"/>
      </w:pPr>
      <w:r>
        <w:rPr>
          <w:spacing w:val="14"/>
        </w:rPr>
        <w:t>第十条医保经办机构应不定期核查诊断医疗机</w:t>
      </w:r>
      <w:r>
        <w:rPr>
          <w:spacing w:val="13"/>
        </w:rPr>
        <w:t>构的诊断</w:t>
      </w:r>
      <w:r>
        <w:rPr>
          <w:spacing w:val="-2"/>
        </w:rPr>
        <w:t>资料，诊断资料不合格的，取消该参保人门诊特殊疾病待遇资</w:t>
      </w:r>
      <w:r>
        <w:rPr>
          <w:spacing w:val="-3"/>
        </w:rPr>
        <w:t>格；</w:t>
      </w:r>
      <w:r>
        <w:rPr>
          <w:spacing w:val="5"/>
        </w:rPr>
        <w:t>造成基金损失的，向诊断医疗机构追回。如出现弄虚作假、降低诊断标准等行为，按照有关规定严肃处理，并取消其门诊特殊疾</w:t>
      </w:r>
      <w:r>
        <w:rPr>
          <w:spacing w:val="6"/>
        </w:rPr>
        <w:t>病诊断服务资格。</w:t>
      </w:r>
    </w:p>
    <w:p w14:paraId="399B5E17">
      <w:pPr>
        <w:pStyle w:val="2"/>
        <w:spacing w:before="176" w:line="309" w:lineRule="auto"/>
        <w:ind w:left="7" w:right="101" w:firstLine="655"/>
      </w:pPr>
      <w:r>
        <w:rPr>
          <w:spacing w:val="13"/>
        </w:rPr>
        <w:t>第十一条因死亡等原因终止参保及经治疗后达到门诊特</w:t>
      </w:r>
      <w:r>
        <w:rPr>
          <w:spacing w:val="5"/>
        </w:rPr>
        <w:t>殊疾病退出标准（保障指南中另行明确）的人员，同步终止其门诊特殊疾病待遇资格。对自愿终止门诊特殊疾病待遇资格的参保</w:t>
      </w:r>
      <w:r>
        <w:rPr>
          <w:spacing w:val="3"/>
        </w:rPr>
        <w:t>人，由申请人或被委托人携带身份证明向医保</w:t>
      </w:r>
      <w:r>
        <w:rPr>
          <w:spacing w:val="2"/>
        </w:rPr>
        <w:t>经办机构提出终止</w:t>
      </w:r>
      <w:r>
        <w:rPr>
          <w:spacing w:val="5"/>
        </w:rPr>
        <w:t>待遇资格申请。医保经办机构自受理终止申请之日起，终止其待</w:t>
      </w:r>
    </w:p>
    <w:p w14:paraId="0B8FA2DF">
      <w:pPr>
        <w:spacing w:line="309" w:lineRule="auto"/>
        <w:sectPr>
          <w:footerReference r:id="rId10" w:type="default"/>
          <w:pgSz w:w="11906" w:h="16839"/>
          <w:pgMar w:top="1431" w:right="1371" w:bottom="1315" w:left="1595" w:header="0" w:footer="949" w:gutter="0"/>
          <w:cols w:space="720" w:num="1"/>
        </w:sectPr>
      </w:pPr>
    </w:p>
    <w:p w14:paraId="5B414CEA">
      <w:pPr>
        <w:spacing w:line="254" w:lineRule="auto"/>
        <w:rPr>
          <w:rFonts w:ascii="Arial"/>
          <w:sz w:val="21"/>
        </w:rPr>
      </w:pPr>
    </w:p>
    <w:p w14:paraId="6600332D">
      <w:pPr>
        <w:spacing w:line="254" w:lineRule="auto"/>
        <w:rPr>
          <w:rFonts w:ascii="Arial"/>
          <w:sz w:val="21"/>
        </w:rPr>
      </w:pPr>
    </w:p>
    <w:p w14:paraId="71048210">
      <w:pPr>
        <w:spacing w:line="255" w:lineRule="auto"/>
        <w:rPr>
          <w:rFonts w:ascii="Arial"/>
          <w:sz w:val="21"/>
        </w:rPr>
      </w:pPr>
    </w:p>
    <w:p w14:paraId="7F1A5E7F">
      <w:pPr>
        <w:pStyle w:val="2"/>
        <w:spacing w:before="113" w:line="235" w:lineRule="auto"/>
        <w:ind w:left="7"/>
      </w:pPr>
      <w:r>
        <w:rPr>
          <w:spacing w:val="8"/>
        </w:rPr>
        <w:t>遇资格。终止后，参保人可重新申请诊断。</w:t>
      </w:r>
    </w:p>
    <w:p w14:paraId="7DE9BDF1">
      <w:pPr>
        <w:pStyle w:val="2"/>
        <w:spacing w:before="179" w:line="332" w:lineRule="auto"/>
        <w:ind w:left="11" w:right="2" w:firstLine="647"/>
        <w:jc w:val="both"/>
      </w:pPr>
      <w:r>
        <w:rPr>
          <w:spacing w:val="5"/>
        </w:rPr>
        <w:t>第十二条参保人获得相应门诊特殊疾病待遇资格后，在职</w:t>
      </w:r>
      <w:r>
        <w:rPr>
          <w:spacing w:val="3"/>
        </w:rPr>
        <w:t>工医保、居民医保参保险种变化时，门诊特殊疾病待遇</w:t>
      </w:r>
      <w:r>
        <w:rPr>
          <w:spacing w:val="2"/>
        </w:rPr>
        <w:t>资格无需</w:t>
      </w:r>
      <w:r>
        <w:rPr>
          <w:spacing w:val="7"/>
        </w:rPr>
        <w:t>重新办理，按其享受待遇险种执行。</w:t>
      </w:r>
    </w:p>
    <w:p w14:paraId="6CAA280D">
      <w:pPr>
        <w:spacing w:line="471" w:lineRule="auto"/>
        <w:rPr>
          <w:rFonts w:ascii="Arial"/>
          <w:sz w:val="21"/>
        </w:rPr>
      </w:pPr>
    </w:p>
    <w:p w14:paraId="274176ED">
      <w:pPr>
        <w:spacing w:before="116" w:line="467" w:lineRule="exact"/>
        <w:ind w:left="3144"/>
        <w:rPr>
          <w:rFonts w:ascii="方正黑体_GBK" w:hAnsi="方正黑体_GBK" w:eastAsia="方正黑体_GBK" w:cs="方正黑体_GBK"/>
          <w:sz w:val="31"/>
          <w:szCs w:val="31"/>
        </w:rPr>
      </w:pPr>
      <w:r>
        <w:rPr>
          <w:rFonts w:ascii="方正黑体_GBK" w:hAnsi="方正黑体_GBK" w:eastAsia="方正黑体_GBK" w:cs="方正黑体_GBK"/>
          <w:spacing w:val="6"/>
          <w:position w:val="3"/>
          <w:sz w:val="31"/>
          <w:szCs w:val="31"/>
        </w:rPr>
        <w:t>第四章待遇保障</w:t>
      </w:r>
    </w:p>
    <w:p w14:paraId="527A73A1">
      <w:pPr>
        <w:spacing w:line="331" w:lineRule="auto"/>
        <w:rPr>
          <w:rFonts w:ascii="Arial"/>
          <w:sz w:val="21"/>
        </w:rPr>
      </w:pPr>
    </w:p>
    <w:p w14:paraId="0CE4E565">
      <w:pPr>
        <w:spacing w:line="332" w:lineRule="auto"/>
        <w:rPr>
          <w:rFonts w:ascii="Arial"/>
          <w:sz w:val="21"/>
        </w:rPr>
      </w:pPr>
    </w:p>
    <w:p w14:paraId="52E7488E">
      <w:pPr>
        <w:pStyle w:val="2"/>
        <w:spacing w:before="113" w:line="328" w:lineRule="auto"/>
        <w:ind w:left="3" w:firstLine="654"/>
        <w:jc w:val="both"/>
      </w:pPr>
      <w:r>
        <w:rPr>
          <w:spacing w:val="5"/>
        </w:rPr>
        <w:t>第十三条符合我市基本医疗保险规定的药品、医用耗材和医疗服务项目支付范围且属于《保障指南》范围的医疗费用纳入门诊特殊疾病待遇保障范围，获得门诊特殊疾病待遇资格后，一</w:t>
      </w:r>
      <w:r>
        <w:rPr>
          <w:spacing w:val="17"/>
        </w:rPr>
        <w:t>个自然年度内参保人发生的符合门诊特殊疾病支付范</w:t>
      </w:r>
      <w:r>
        <w:rPr>
          <w:spacing w:val="16"/>
        </w:rPr>
        <w:t>围的费用</w:t>
      </w:r>
      <w:r>
        <w:rPr>
          <w:spacing w:val="5"/>
        </w:rPr>
        <w:t>累计计算，超过就诊医疗机构门诊特殊疾病起付标准的费用按比</w:t>
      </w:r>
      <w:r>
        <w:rPr>
          <w:spacing w:val="8"/>
        </w:rPr>
        <w:t>例报销，起付标准按以下方式计算：</w:t>
      </w:r>
    </w:p>
    <w:p w14:paraId="3D52526D">
      <w:pPr>
        <w:pStyle w:val="2"/>
        <w:spacing w:before="1" w:line="328" w:lineRule="auto"/>
        <w:ind w:left="2" w:right="2" w:firstLine="651"/>
        <w:jc w:val="both"/>
      </w:pPr>
      <w:r>
        <w:rPr>
          <w:spacing w:val="4"/>
        </w:rPr>
        <w:t>职工医保参保人员一类、二类门诊特殊疾病起付标准与住院</w:t>
      </w:r>
      <w:r>
        <w:rPr>
          <w:spacing w:val="5"/>
        </w:rPr>
        <w:t>起付标准一致，年度内按就诊医疗机构最高等级分别计付一次住</w:t>
      </w:r>
      <w:r>
        <w:rPr>
          <w:spacing w:val="7"/>
        </w:rPr>
        <w:t>院及门诊特殊疾病起付标准。</w:t>
      </w:r>
    </w:p>
    <w:p w14:paraId="1242418C">
      <w:pPr>
        <w:pStyle w:val="2"/>
        <w:spacing w:before="5" w:line="331" w:lineRule="auto"/>
        <w:ind w:firstLine="647"/>
        <w:jc w:val="both"/>
      </w:pPr>
      <w:r>
        <w:rPr>
          <w:spacing w:val="17"/>
        </w:rPr>
        <w:t>居民医保参保人员一类门诊特殊疾病起付标准与住院起付</w:t>
      </w:r>
      <w:r>
        <w:rPr>
          <w:spacing w:val="5"/>
        </w:rPr>
        <w:t>标准一致，年度内按就诊医疗机构最高等级分别计付一次住院及门诊特殊疾病起付标准。二类门诊特殊疾病在各级医疗机构均不</w:t>
      </w:r>
      <w:r>
        <w:rPr>
          <w:spacing w:val="9"/>
        </w:rPr>
        <w:t>计门诊起付标准，住院按住院规定计付起付</w:t>
      </w:r>
      <w:r>
        <w:rPr>
          <w:spacing w:val="8"/>
        </w:rPr>
        <w:t>标准。</w:t>
      </w:r>
    </w:p>
    <w:p w14:paraId="45EF93EC">
      <w:pPr>
        <w:spacing w:line="331" w:lineRule="auto"/>
        <w:sectPr>
          <w:footerReference r:id="rId11" w:type="default"/>
          <w:pgSz w:w="11906" w:h="16839"/>
          <w:pgMar w:top="1431" w:right="1473" w:bottom="1315" w:left="1600" w:header="0" w:footer="949" w:gutter="0"/>
          <w:cols w:space="720" w:num="1"/>
        </w:sectPr>
      </w:pPr>
    </w:p>
    <w:p w14:paraId="1F740C43">
      <w:pPr>
        <w:spacing w:line="254" w:lineRule="auto"/>
        <w:rPr>
          <w:rFonts w:ascii="Arial"/>
          <w:sz w:val="21"/>
        </w:rPr>
      </w:pPr>
    </w:p>
    <w:p w14:paraId="4D112B5D">
      <w:pPr>
        <w:spacing w:line="254" w:lineRule="auto"/>
        <w:rPr>
          <w:rFonts w:ascii="Arial"/>
          <w:sz w:val="21"/>
        </w:rPr>
      </w:pPr>
    </w:p>
    <w:p w14:paraId="60C23E89">
      <w:pPr>
        <w:spacing w:line="255" w:lineRule="auto"/>
        <w:rPr>
          <w:rFonts w:ascii="Arial"/>
          <w:sz w:val="21"/>
        </w:rPr>
      </w:pPr>
    </w:p>
    <w:p w14:paraId="01FE09E4">
      <w:pPr>
        <w:pStyle w:val="2"/>
        <w:spacing w:before="114" w:line="328" w:lineRule="auto"/>
        <w:ind w:right="100" w:firstLine="666"/>
        <w:jc w:val="both"/>
      </w:pPr>
      <w:r>
        <w:rPr>
          <w:spacing w:val="21"/>
        </w:rPr>
        <w:t>第十四条随单位参保和以个人身份参加职工医保</w:t>
      </w:r>
      <w:r>
        <w:rPr>
          <w:spacing w:val="20"/>
        </w:rPr>
        <w:t>二档人</w:t>
      </w:r>
      <w:r>
        <w:rPr>
          <w:spacing w:val="5"/>
        </w:rPr>
        <w:t>员，慢性肾衰竭血液净化治疗、器官移植术后抗排异治疗、恶性</w:t>
      </w:r>
      <w:r>
        <w:rPr>
          <w:spacing w:val="13"/>
        </w:rPr>
        <w:t>肿瘤年度累计统筹基金支付在</w:t>
      </w:r>
      <w:r>
        <w:rPr>
          <w:rFonts w:ascii="Times New Roman" w:hAnsi="Times New Roman" w:eastAsia="Times New Roman" w:cs="Times New Roman"/>
          <w:spacing w:val="13"/>
        </w:rPr>
        <w:t>3.7</w:t>
      </w:r>
      <w:r>
        <w:rPr>
          <w:spacing w:val="13"/>
        </w:rPr>
        <w:t>万元及以下的，在各级医疗机</w:t>
      </w:r>
      <w:r>
        <w:rPr>
          <w:spacing w:val="4"/>
        </w:rPr>
        <w:t>构统筹报销比例为</w:t>
      </w:r>
      <w:r>
        <w:rPr>
          <w:rFonts w:ascii="Times New Roman" w:hAnsi="Times New Roman" w:eastAsia="Times New Roman" w:cs="Times New Roman"/>
          <w:spacing w:val="4"/>
        </w:rPr>
        <w:t>90%</w:t>
      </w:r>
      <w:r>
        <w:rPr>
          <w:spacing w:val="4"/>
        </w:rPr>
        <w:t>，年度累计统筹基金支付在</w:t>
      </w:r>
      <w:r>
        <w:rPr>
          <w:rFonts w:ascii="Times New Roman" w:hAnsi="Times New Roman" w:eastAsia="Times New Roman" w:cs="Times New Roman"/>
          <w:spacing w:val="4"/>
        </w:rPr>
        <w:t>3.7</w:t>
      </w:r>
      <w:r>
        <w:rPr>
          <w:spacing w:val="4"/>
        </w:rPr>
        <w:t>万元以上至</w:t>
      </w:r>
      <w:r>
        <w:rPr>
          <w:rFonts w:ascii="Times New Roman" w:hAnsi="Times New Roman" w:eastAsia="Times New Roman" w:cs="Times New Roman"/>
          <w:spacing w:val="9"/>
        </w:rPr>
        <w:t>4.7</w:t>
      </w:r>
      <w:r>
        <w:rPr>
          <w:spacing w:val="9"/>
        </w:rPr>
        <w:t>万元之间的统筹报销比例为</w:t>
      </w:r>
      <w:r>
        <w:rPr>
          <w:rFonts w:ascii="Times New Roman" w:hAnsi="Times New Roman" w:eastAsia="Times New Roman" w:cs="Times New Roman"/>
          <w:spacing w:val="9"/>
        </w:rPr>
        <w:t>100%</w:t>
      </w:r>
      <w:r>
        <w:rPr>
          <w:spacing w:val="9"/>
        </w:rPr>
        <w:t>；其余一类、二类门诊特殊</w:t>
      </w:r>
      <w:r>
        <w:rPr>
          <w:spacing w:val="8"/>
        </w:rPr>
        <w:t>疾病在各级医疗机构统筹报销比例为</w:t>
      </w:r>
      <w:r>
        <w:rPr>
          <w:rFonts w:ascii="Times New Roman" w:hAnsi="Times New Roman" w:eastAsia="Times New Roman" w:cs="Times New Roman"/>
          <w:spacing w:val="8"/>
        </w:rPr>
        <w:t>80%</w:t>
      </w:r>
      <w:r>
        <w:rPr>
          <w:spacing w:val="8"/>
        </w:rPr>
        <w:t>。</w:t>
      </w:r>
    </w:p>
    <w:p w14:paraId="2072B9EB">
      <w:pPr>
        <w:pStyle w:val="2"/>
        <w:spacing w:before="4" w:line="321" w:lineRule="auto"/>
        <w:ind w:left="15" w:right="97" w:firstLine="674"/>
        <w:jc w:val="both"/>
      </w:pPr>
      <w:r>
        <w:rPr>
          <w:spacing w:val="3"/>
        </w:rPr>
        <w:t>以个人身份参加职工医保一档人员，慢性肾衰竭血液净化治</w:t>
      </w:r>
      <w:r>
        <w:rPr>
          <w:spacing w:val="5"/>
        </w:rPr>
        <w:t>疗、器官移植术后抗排异治疗、恶性肿瘤、血友病与随单位参保</w:t>
      </w:r>
      <w:r>
        <w:rPr>
          <w:spacing w:val="6"/>
        </w:rPr>
        <w:t>人报销比例相同。</w:t>
      </w:r>
    </w:p>
    <w:p w14:paraId="09FA9A6A">
      <w:pPr>
        <w:pStyle w:val="2"/>
        <w:spacing w:before="2" w:line="336" w:lineRule="auto"/>
        <w:ind w:left="14" w:right="100" w:firstLine="638"/>
      </w:pPr>
      <w:r>
        <w:rPr>
          <w:spacing w:val="6"/>
        </w:rPr>
        <w:t>年度累计基金支出在</w:t>
      </w:r>
      <w:r>
        <w:rPr>
          <w:rFonts w:ascii="Times New Roman" w:hAnsi="Times New Roman" w:eastAsia="Times New Roman" w:cs="Times New Roman"/>
          <w:spacing w:val="6"/>
        </w:rPr>
        <w:t>4.7</w:t>
      </w:r>
      <w:r>
        <w:rPr>
          <w:spacing w:val="6"/>
        </w:rPr>
        <w:t>万元以上的，由大额基金按</w:t>
      </w:r>
      <w:r>
        <w:rPr>
          <w:rFonts w:ascii="Times New Roman" w:hAnsi="Times New Roman" w:eastAsia="Times New Roman" w:cs="Times New Roman"/>
          <w:spacing w:val="6"/>
        </w:rPr>
        <w:t>100%</w:t>
      </w:r>
      <w:r>
        <w:rPr>
          <w:spacing w:val="6"/>
        </w:rPr>
        <w:t>比</w:t>
      </w:r>
      <w:r>
        <w:rPr>
          <w:spacing w:val="2"/>
        </w:rPr>
        <w:t>例报销。</w:t>
      </w:r>
    </w:p>
    <w:p w14:paraId="432F4DB3">
      <w:pPr>
        <w:pStyle w:val="2"/>
        <w:spacing w:before="7" w:line="328" w:lineRule="auto"/>
        <w:ind w:left="14" w:right="97" w:firstLine="640"/>
      </w:pPr>
      <w:r>
        <w:rPr>
          <w:spacing w:val="5"/>
        </w:rPr>
        <w:t>居民医保参保人员一类、二类门诊特殊疾病均</w:t>
      </w:r>
      <w:r>
        <w:rPr>
          <w:spacing w:val="4"/>
        </w:rPr>
        <w:t>按就医医疗机</w:t>
      </w:r>
      <w:r>
        <w:rPr>
          <w:spacing w:val="6"/>
        </w:rPr>
        <w:t>构住院报销比例结算。</w:t>
      </w:r>
    </w:p>
    <w:p w14:paraId="6BA178AD">
      <w:pPr>
        <w:pStyle w:val="2"/>
        <w:spacing w:before="2" w:line="327" w:lineRule="auto"/>
        <w:ind w:left="15" w:right="100" w:firstLine="650"/>
      </w:pPr>
      <w:r>
        <w:rPr>
          <w:spacing w:val="2"/>
        </w:rPr>
        <w:t>第十五条随单位参保和以个人身份参加职工医保一、二档</w:t>
      </w:r>
      <w:r>
        <w:rPr>
          <w:spacing w:val="8"/>
        </w:rPr>
        <w:t>人员门诊特殊疾病医保基金年度支付金额与住院合并计算。</w:t>
      </w:r>
    </w:p>
    <w:p w14:paraId="427FAF3C">
      <w:pPr>
        <w:pStyle w:val="2"/>
        <w:spacing w:before="7" w:line="326" w:lineRule="auto"/>
        <w:ind w:left="19" w:firstLine="635"/>
        <w:jc w:val="both"/>
      </w:pPr>
      <w:r>
        <w:rPr>
          <w:spacing w:val="17"/>
        </w:rPr>
        <w:t>居民医保参保人员一类门诊特殊疾病医保基金年度支付金</w:t>
      </w:r>
      <w:r>
        <w:rPr>
          <w:spacing w:val="5"/>
        </w:rPr>
        <w:t>额与住院合并计算；取得一类门诊特殊疾病资格的儿童在普通居</w:t>
      </w:r>
      <w:r>
        <w:rPr>
          <w:spacing w:val="7"/>
        </w:rPr>
        <w:t>民基础上增加年度统筹基金支付限额，儿童</w:t>
      </w:r>
      <w:r>
        <w:rPr>
          <w:spacing w:val="6"/>
        </w:rPr>
        <w:t>一档增加</w:t>
      </w:r>
      <w:r>
        <w:rPr>
          <w:rFonts w:ascii="Times New Roman" w:hAnsi="Times New Roman" w:eastAsia="Times New Roman" w:cs="Times New Roman"/>
          <w:spacing w:val="6"/>
        </w:rPr>
        <w:t>2</w:t>
      </w:r>
      <w:r>
        <w:rPr>
          <w:spacing w:val="6"/>
        </w:rPr>
        <w:t>万元</w:t>
      </w:r>
      <w:r>
        <w:rPr>
          <w:rFonts w:ascii="Times New Roman" w:hAnsi="Times New Roman" w:eastAsia="Times New Roman" w:cs="Times New Roman"/>
          <w:spacing w:val="6"/>
        </w:rPr>
        <w:t>/</w:t>
      </w:r>
      <w:r>
        <w:rPr>
          <w:spacing w:val="6"/>
        </w:rPr>
        <w:t>年，</w:t>
      </w:r>
      <w:r>
        <w:rPr>
          <w:spacing w:val="14"/>
        </w:rPr>
        <w:t>二档增加</w:t>
      </w:r>
      <w:r>
        <w:rPr>
          <w:rFonts w:ascii="Times New Roman" w:hAnsi="Times New Roman" w:eastAsia="Times New Roman" w:cs="Times New Roman"/>
          <w:spacing w:val="14"/>
        </w:rPr>
        <w:t>3</w:t>
      </w:r>
      <w:r>
        <w:rPr>
          <w:spacing w:val="14"/>
        </w:rPr>
        <w:t>万元</w:t>
      </w:r>
      <w:r>
        <w:rPr>
          <w:rFonts w:ascii="Times New Roman" w:hAnsi="Times New Roman" w:eastAsia="Times New Roman" w:cs="Times New Roman"/>
          <w:spacing w:val="14"/>
        </w:rPr>
        <w:t>/</w:t>
      </w:r>
      <w:r>
        <w:rPr>
          <w:spacing w:val="14"/>
        </w:rPr>
        <w:t>年；取得一类门诊特殊疾病资格的大学生年度</w:t>
      </w:r>
      <w:r>
        <w:rPr>
          <w:spacing w:val="3"/>
        </w:rPr>
        <w:t>统筹基金支付限额一档</w:t>
      </w:r>
      <w:r>
        <w:rPr>
          <w:rFonts w:ascii="Times New Roman" w:hAnsi="Times New Roman" w:eastAsia="Times New Roman" w:cs="Times New Roman"/>
          <w:spacing w:val="3"/>
        </w:rPr>
        <w:t>10</w:t>
      </w:r>
      <w:r>
        <w:rPr>
          <w:spacing w:val="3"/>
        </w:rPr>
        <w:t>万元</w:t>
      </w:r>
      <w:r>
        <w:rPr>
          <w:rFonts w:ascii="Times New Roman" w:hAnsi="Times New Roman" w:eastAsia="Times New Roman" w:cs="Times New Roman"/>
          <w:spacing w:val="3"/>
        </w:rPr>
        <w:t>/</w:t>
      </w:r>
      <w:r>
        <w:rPr>
          <w:spacing w:val="3"/>
        </w:rPr>
        <w:t>年，二</w:t>
      </w:r>
      <w:r>
        <w:rPr>
          <w:spacing w:val="2"/>
        </w:rPr>
        <w:t>档</w:t>
      </w:r>
      <w:r>
        <w:rPr>
          <w:rFonts w:ascii="Times New Roman" w:hAnsi="Times New Roman" w:eastAsia="Times New Roman" w:cs="Times New Roman"/>
          <w:spacing w:val="2"/>
        </w:rPr>
        <w:t>12</w:t>
      </w:r>
      <w:r>
        <w:rPr>
          <w:spacing w:val="2"/>
        </w:rPr>
        <w:t>万元</w:t>
      </w:r>
      <w:r>
        <w:rPr>
          <w:rFonts w:ascii="Times New Roman" w:hAnsi="Times New Roman" w:eastAsia="Times New Roman" w:cs="Times New Roman"/>
          <w:spacing w:val="2"/>
        </w:rPr>
        <w:t>/</w:t>
      </w:r>
      <w:r>
        <w:rPr>
          <w:spacing w:val="2"/>
        </w:rPr>
        <w:t>年。二类门诊</w:t>
      </w:r>
    </w:p>
    <w:p w14:paraId="0D94FC58">
      <w:pPr>
        <w:spacing w:line="326" w:lineRule="auto"/>
        <w:sectPr>
          <w:footerReference r:id="rId12" w:type="default"/>
          <w:pgSz w:w="11906" w:h="16839"/>
          <w:pgMar w:top="1431" w:right="1375" w:bottom="1315" w:left="1591" w:header="0" w:footer="949" w:gutter="0"/>
          <w:cols w:space="720" w:num="1"/>
        </w:sectPr>
      </w:pPr>
    </w:p>
    <w:p w14:paraId="78272D3E">
      <w:pPr>
        <w:rPr>
          <w:rFonts w:ascii="Arial"/>
          <w:sz w:val="21"/>
        </w:rPr>
      </w:pPr>
    </w:p>
    <w:p w14:paraId="6EF080A2">
      <w:pPr>
        <w:spacing w:line="241" w:lineRule="auto"/>
        <w:rPr>
          <w:rFonts w:ascii="Arial"/>
          <w:sz w:val="21"/>
        </w:rPr>
      </w:pPr>
    </w:p>
    <w:p w14:paraId="1490C8DE">
      <w:pPr>
        <w:spacing w:line="241" w:lineRule="auto"/>
        <w:rPr>
          <w:rFonts w:ascii="Arial"/>
          <w:sz w:val="21"/>
        </w:rPr>
      </w:pPr>
    </w:p>
    <w:p w14:paraId="149FBA75">
      <w:pPr>
        <w:pStyle w:val="2"/>
        <w:spacing w:before="113" w:line="323" w:lineRule="auto"/>
        <w:ind w:left="3" w:right="126" w:hanging="2"/>
        <w:jc w:val="both"/>
      </w:pPr>
      <w:r>
        <w:rPr>
          <w:spacing w:val="4"/>
        </w:rPr>
        <w:t>特殊疾病实行限额报销方式，普通居民年度支付限额为</w:t>
      </w:r>
      <w:r>
        <w:rPr>
          <w:rFonts w:ascii="Times New Roman" w:hAnsi="Times New Roman" w:eastAsia="Times New Roman" w:cs="Times New Roman"/>
          <w:spacing w:val="4"/>
        </w:rPr>
        <w:t>1000</w:t>
      </w:r>
      <w:r>
        <w:rPr>
          <w:spacing w:val="4"/>
        </w:rPr>
        <w:t>元</w:t>
      </w:r>
      <w:r>
        <w:rPr>
          <w:rFonts w:ascii="Times New Roman" w:hAnsi="Times New Roman" w:eastAsia="Times New Roman" w:cs="Times New Roman"/>
          <w:spacing w:val="4"/>
        </w:rPr>
        <w:t>/</w:t>
      </w:r>
      <w:r>
        <w:rPr>
          <w:spacing w:val="7"/>
        </w:rPr>
        <w:t>年；大学生年度支付限额为</w:t>
      </w:r>
      <w:r>
        <w:rPr>
          <w:rFonts w:ascii="Times New Roman" w:hAnsi="Times New Roman" w:eastAsia="Times New Roman" w:cs="Times New Roman"/>
          <w:spacing w:val="7"/>
        </w:rPr>
        <w:t>2400</w:t>
      </w:r>
      <w:r>
        <w:rPr>
          <w:spacing w:val="7"/>
        </w:rPr>
        <w:t>元</w:t>
      </w:r>
      <w:r>
        <w:rPr>
          <w:rFonts w:ascii="Times New Roman" w:hAnsi="Times New Roman" w:eastAsia="Times New Roman" w:cs="Times New Roman"/>
          <w:spacing w:val="7"/>
        </w:rPr>
        <w:t>/</w:t>
      </w:r>
      <w:r>
        <w:rPr>
          <w:spacing w:val="7"/>
        </w:rPr>
        <w:t>年；同时患两种或两</w:t>
      </w:r>
      <w:r>
        <w:rPr>
          <w:spacing w:val="6"/>
        </w:rPr>
        <w:t>种以上</w:t>
      </w:r>
      <w:r>
        <w:rPr>
          <w:spacing w:val="8"/>
        </w:rPr>
        <w:t>二类门诊特殊疾病的，每增加一个病种，年度支付限额增加</w:t>
      </w:r>
      <w:r>
        <w:rPr>
          <w:rFonts w:ascii="Times New Roman" w:hAnsi="Times New Roman" w:eastAsia="Times New Roman" w:cs="Times New Roman"/>
          <w:spacing w:val="8"/>
        </w:rPr>
        <w:t>200</w:t>
      </w:r>
      <w:r>
        <w:rPr>
          <w:spacing w:val="-5"/>
        </w:rPr>
        <w:t>元。</w:t>
      </w:r>
    </w:p>
    <w:p w14:paraId="3C9F6B31">
      <w:pPr>
        <w:pStyle w:val="2"/>
        <w:spacing w:before="82" w:line="321" w:lineRule="auto"/>
        <w:ind w:left="24" w:right="129" w:firstLine="633"/>
        <w:jc w:val="both"/>
      </w:pPr>
      <w:r>
        <w:rPr>
          <w:spacing w:val="13"/>
        </w:rPr>
        <w:t>第十六条以下门诊特殊疾病病种在政策范围内实行年度</w:t>
      </w:r>
      <w:r>
        <w:rPr>
          <w:spacing w:val="4"/>
        </w:rPr>
        <w:t>限额结算，一个自然年度内，超过年度限额的部分，医保基金不</w:t>
      </w:r>
      <w:r>
        <w:rPr>
          <w:spacing w:val="-3"/>
        </w:rPr>
        <w:t>予支付。</w:t>
      </w:r>
    </w:p>
    <w:p w14:paraId="094934F2">
      <w:pPr>
        <w:pStyle w:val="2"/>
        <w:spacing w:before="1" w:line="328" w:lineRule="auto"/>
        <w:ind w:right="127" w:firstLine="663"/>
        <w:jc w:val="both"/>
      </w:pPr>
      <w:r>
        <w:rPr>
          <w:spacing w:val="3"/>
        </w:rPr>
        <w:t>一类病种（含职工医保和居民医保</w:t>
      </w:r>
      <w:r>
        <w:rPr>
          <w:spacing w:val="14"/>
        </w:rPr>
        <w:t>）：</w:t>
      </w:r>
      <w:r>
        <w:rPr>
          <w:spacing w:val="3"/>
        </w:rPr>
        <w:t>阿尔茨海默病（</w:t>
      </w:r>
      <w:r>
        <w:rPr>
          <w:rFonts w:ascii="Times New Roman" w:hAnsi="Times New Roman" w:eastAsia="Times New Roman" w:cs="Times New Roman"/>
          <w:spacing w:val="3"/>
        </w:rPr>
        <w:t>6000</w:t>
      </w:r>
      <w:r>
        <w:rPr>
          <w:spacing w:val="11"/>
        </w:rPr>
        <w:t>元</w:t>
      </w:r>
      <w:r>
        <w:rPr>
          <w:rFonts w:ascii="Times New Roman" w:hAnsi="Times New Roman" w:eastAsia="Times New Roman" w:cs="Times New Roman"/>
          <w:spacing w:val="11"/>
        </w:rPr>
        <w:t>/</w:t>
      </w:r>
      <w:r>
        <w:rPr>
          <w:spacing w:val="11"/>
        </w:rPr>
        <w:t>年）、普拉德</w:t>
      </w:r>
      <w:r>
        <w:rPr>
          <w:rFonts w:ascii="Times New Roman" w:hAnsi="Times New Roman" w:eastAsia="Times New Roman" w:cs="Times New Roman"/>
          <w:spacing w:val="11"/>
        </w:rPr>
        <w:t>-</w:t>
      </w:r>
      <w:r>
        <w:rPr>
          <w:spacing w:val="11"/>
        </w:rPr>
        <w:t>威利综合征（</w:t>
      </w:r>
      <w:r>
        <w:rPr>
          <w:rFonts w:ascii="Times New Roman" w:hAnsi="Times New Roman" w:eastAsia="Times New Roman" w:cs="Times New Roman"/>
          <w:spacing w:val="11"/>
        </w:rPr>
        <w:t>24000</w:t>
      </w:r>
      <w:r>
        <w:rPr>
          <w:spacing w:val="10"/>
        </w:rPr>
        <w:t>元</w:t>
      </w:r>
      <w:r>
        <w:rPr>
          <w:rFonts w:ascii="Times New Roman" w:hAnsi="Times New Roman" w:eastAsia="Times New Roman" w:cs="Times New Roman"/>
          <w:spacing w:val="10"/>
        </w:rPr>
        <w:t>/</w:t>
      </w:r>
      <w:r>
        <w:rPr>
          <w:spacing w:val="10"/>
        </w:rPr>
        <w:t>年）、原发性生长激素</w:t>
      </w:r>
      <w:r>
        <w:rPr>
          <w:spacing w:val="5"/>
        </w:rPr>
        <w:t>缺乏症（</w:t>
      </w:r>
      <w:r>
        <w:rPr>
          <w:rFonts w:ascii="Times New Roman" w:hAnsi="Times New Roman" w:eastAsia="Times New Roman" w:cs="Times New Roman"/>
          <w:spacing w:val="5"/>
        </w:rPr>
        <w:t>24000</w:t>
      </w:r>
      <w:r>
        <w:rPr>
          <w:spacing w:val="5"/>
        </w:rPr>
        <w:t>元</w:t>
      </w:r>
      <w:r>
        <w:rPr>
          <w:rFonts w:ascii="Times New Roman" w:hAnsi="Times New Roman" w:eastAsia="Times New Roman" w:cs="Times New Roman"/>
          <w:spacing w:val="5"/>
        </w:rPr>
        <w:t>/</w:t>
      </w:r>
      <w:r>
        <w:rPr>
          <w:spacing w:val="5"/>
        </w:rPr>
        <w:t>年）。</w:t>
      </w:r>
    </w:p>
    <w:p w14:paraId="43B12CC9">
      <w:pPr>
        <w:pStyle w:val="2"/>
        <w:spacing w:before="3" w:line="330" w:lineRule="auto"/>
        <w:ind w:left="6" w:firstLine="651"/>
        <w:jc w:val="both"/>
      </w:pPr>
      <w:r>
        <w:rPr>
          <w:spacing w:val="8"/>
        </w:rPr>
        <w:t>二类病种（限职工医保</w:t>
      </w:r>
      <w:r>
        <w:rPr>
          <w:spacing w:val="41"/>
        </w:rPr>
        <w:t>）：</w:t>
      </w:r>
      <w:r>
        <w:rPr>
          <w:spacing w:val="8"/>
        </w:rPr>
        <w:t>强直性脊柱炎（</w:t>
      </w:r>
      <w:r>
        <w:rPr>
          <w:rFonts w:ascii="Times New Roman" w:hAnsi="Times New Roman" w:eastAsia="Times New Roman" w:cs="Times New Roman"/>
          <w:spacing w:val="8"/>
        </w:rPr>
        <w:t>6000</w:t>
      </w:r>
      <w:r>
        <w:rPr>
          <w:spacing w:val="8"/>
        </w:rPr>
        <w:t>元</w:t>
      </w:r>
      <w:r>
        <w:rPr>
          <w:rFonts w:ascii="Times New Roman" w:hAnsi="Times New Roman" w:eastAsia="Times New Roman" w:cs="Times New Roman"/>
          <w:spacing w:val="8"/>
        </w:rPr>
        <w:t>/</w:t>
      </w:r>
      <w:r>
        <w:rPr>
          <w:spacing w:val="8"/>
        </w:rPr>
        <w:t>年）、</w:t>
      </w:r>
      <w:r>
        <w:rPr>
          <w:spacing w:val="3"/>
        </w:rPr>
        <w:t>原发性肾病综合征（</w:t>
      </w:r>
      <w:r>
        <w:rPr>
          <w:rFonts w:ascii="Times New Roman" w:hAnsi="Times New Roman" w:eastAsia="Times New Roman" w:cs="Times New Roman"/>
          <w:spacing w:val="3"/>
        </w:rPr>
        <w:t>9000</w:t>
      </w:r>
      <w:r>
        <w:rPr>
          <w:spacing w:val="3"/>
        </w:rPr>
        <w:t>元</w:t>
      </w:r>
      <w:r>
        <w:rPr>
          <w:rFonts w:ascii="Times New Roman" w:hAnsi="Times New Roman" w:eastAsia="Times New Roman" w:cs="Times New Roman"/>
          <w:spacing w:val="3"/>
        </w:rPr>
        <w:t>/</w:t>
      </w:r>
      <w:r>
        <w:rPr>
          <w:spacing w:val="3"/>
        </w:rPr>
        <w:t>年）、肝豆状核变性（</w:t>
      </w:r>
      <w:r>
        <w:rPr>
          <w:rFonts w:ascii="Times New Roman" w:hAnsi="Times New Roman" w:eastAsia="Times New Roman" w:cs="Times New Roman"/>
          <w:spacing w:val="3"/>
        </w:rPr>
        <w:t>9000</w:t>
      </w:r>
      <w:r>
        <w:rPr>
          <w:spacing w:val="3"/>
        </w:rPr>
        <w:t>元</w:t>
      </w:r>
      <w:r>
        <w:rPr>
          <w:rFonts w:ascii="Times New Roman" w:hAnsi="Times New Roman" w:eastAsia="Times New Roman" w:cs="Times New Roman"/>
          <w:spacing w:val="3"/>
        </w:rPr>
        <w:t>/</w:t>
      </w:r>
      <w:r>
        <w:rPr>
          <w:spacing w:val="3"/>
        </w:rPr>
        <w:t>年</w:t>
      </w:r>
      <w:r>
        <w:rPr>
          <w:spacing w:val="2"/>
        </w:rPr>
        <w:t>）、</w:t>
      </w:r>
      <w:r>
        <w:rPr>
          <w:spacing w:val="8"/>
        </w:rPr>
        <w:t>重度骨质疏松（</w:t>
      </w:r>
      <w:r>
        <w:rPr>
          <w:rFonts w:ascii="Times New Roman" w:hAnsi="Times New Roman" w:eastAsia="Times New Roman" w:cs="Times New Roman"/>
          <w:spacing w:val="8"/>
        </w:rPr>
        <w:t>3600</w:t>
      </w:r>
      <w:r>
        <w:rPr>
          <w:spacing w:val="8"/>
        </w:rPr>
        <w:t>元</w:t>
      </w:r>
      <w:r>
        <w:rPr>
          <w:rFonts w:ascii="Times New Roman" w:hAnsi="Times New Roman" w:eastAsia="Times New Roman" w:cs="Times New Roman"/>
          <w:spacing w:val="8"/>
        </w:rPr>
        <w:t>/</w:t>
      </w:r>
      <w:r>
        <w:rPr>
          <w:spacing w:val="8"/>
        </w:rPr>
        <w:t>年）、系统性硬化症（</w:t>
      </w:r>
      <w:r>
        <w:rPr>
          <w:rFonts w:ascii="Times New Roman" w:hAnsi="Times New Roman" w:eastAsia="Times New Roman" w:cs="Times New Roman"/>
          <w:spacing w:val="8"/>
        </w:rPr>
        <w:t>6000</w:t>
      </w:r>
      <w:r>
        <w:rPr>
          <w:spacing w:val="8"/>
        </w:rPr>
        <w:t>元</w:t>
      </w:r>
      <w:r>
        <w:rPr>
          <w:rFonts w:ascii="Times New Roman" w:hAnsi="Times New Roman" w:eastAsia="Times New Roman" w:cs="Times New Roman"/>
          <w:spacing w:val="8"/>
        </w:rPr>
        <w:t>/</w:t>
      </w:r>
      <w:r>
        <w:rPr>
          <w:spacing w:val="8"/>
        </w:rPr>
        <w:t>年）、原</w:t>
      </w:r>
      <w:r>
        <w:rPr>
          <w:spacing w:val="6"/>
        </w:rPr>
        <w:t>发性干燥综合征（</w:t>
      </w:r>
      <w:r>
        <w:rPr>
          <w:rFonts w:ascii="Times New Roman" w:hAnsi="Times New Roman" w:eastAsia="Times New Roman" w:cs="Times New Roman"/>
          <w:spacing w:val="6"/>
        </w:rPr>
        <w:t>6000</w:t>
      </w:r>
      <w:r>
        <w:rPr>
          <w:spacing w:val="6"/>
        </w:rPr>
        <w:t>元</w:t>
      </w:r>
      <w:r>
        <w:rPr>
          <w:rFonts w:ascii="Times New Roman" w:hAnsi="Times New Roman" w:eastAsia="Times New Roman" w:cs="Times New Roman"/>
          <w:spacing w:val="6"/>
        </w:rPr>
        <w:t>/</w:t>
      </w:r>
      <w:r>
        <w:rPr>
          <w:spacing w:val="6"/>
        </w:rPr>
        <w:t>年）、重症肌无力（</w:t>
      </w:r>
      <w:r>
        <w:rPr>
          <w:rFonts w:ascii="Times New Roman" w:hAnsi="Times New Roman" w:eastAsia="Times New Roman" w:cs="Times New Roman"/>
          <w:spacing w:val="6"/>
        </w:rPr>
        <w:t>6000</w:t>
      </w:r>
      <w:r>
        <w:rPr>
          <w:spacing w:val="6"/>
        </w:rPr>
        <w:t>元</w:t>
      </w:r>
      <w:r>
        <w:rPr>
          <w:rFonts w:ascii="Times New Roman" w:hAnsi="Times New Roman" w:eastAsia="Times New Roman" w:cs="Times New Roman"/>
          <w:spacing w:val="6"/>
        </w:rPr>
        <w:t>/</w:t>
      </w:r>
      <w:r>
        <w:rPr>
          <w:spacing w:val="6"/>
        </w:rPr>
        <w:t>年）、良</w:t>
      </w:r>
      <w:r>
        <w:rPr>
          <w:spacing w:val="9"/>
        </w:rPr>
        <w:t>性前列腺增生症（</w:t>
      </w:r>
      <w:r>
        <w:rPr>
          <w:rFonts w:ascii="Times New Roman" w:hAnsi="Times New Roman" w:eastAsia="Times New Roman" w:cs="Times New Roman"/>
          <w:spacing w:val="9"/>
        </w:rPr>
        <w:t>1000</w:t>
      </w:r>
      <w:r>
        <w:rPr>
          <w:spacing w:val="9"/>
        </w:rPr>
        <w:t>元</w:t>
      </w:r>
      <w:r>
        <w:rPr>
          <w:rFonts w:ascii="Times New Roman" w:hAnsi="Times New Roman" w:eastAsia="Times New Roman" w:cs="Times New Roman"/>
          <w:spacing w:val="9"/>
        </w:rPr>
        <w:t>/</w:t>
      </w:r>
      <w:r>
        <w:rPr>
          <w:spacing w:val="9"/>
        </w:rPr>
        <w:t>年）、原发性青光眼（</w:t>
      </w:r>
      <w:r>
        <w:rPr>
          <w:rFonts w:ascii="Times New Roman" w:hAnsi="Times New Roman" w:eastAsia="Times New Roman" w:cs="Times New Roman"/>
          <w:spacing w:val="9"/>
        </w:rPr>
        <w:t>1800</w:t>
      </w:r>
      <w:r>
        <w:rPr>
          <w:spacing w:val="9"/>
        </w:rPr>
        <w:t>元</w:t>
      </w:r>
      <w:r>
        <w:rPr>
          <w:rFonts w:ascii="Times New Roman" w:hAnsi="Times New Roman" w:eastAsia="Times New Roman" w:cs="Times New Roman"/>
          <w:spacing w:val="9"/>
        </w:rPr>
        <w:t>/</w:t>
      </w:r>
      <w:r>
        <w:rPr>
          <w:spacing w:val="9"/>
        </w:rPr>
        <w:t>年）、</w:t>
      </w:r>
      <w:r>
        <w:rPr>
          <w:spacing w:val="6"/>
        </w:rPr>
        <w:t>焦虑症（</w:t>
      </w:r>
      <w:r>
        <w:rPr>
          <w:rFonts w:ascii="Times New Roman" w:hAnsi="Times New Roman" w:eastAsia="Times New Roman" w:cs="Times New Roman"/>
          <w:spacing w:val="6"/>
        </w:rPr>
        <w:t>4800</w:t>
      </w:r>
      <w:r>
        <w:rPr>
          <w:spacing w:val="6"/>
        </w:rPr>
        <w:t>元</w:t>
      </w:r>
      <w:r>
        <w:rPr>
          <w:rFonts w:ascii="Times New Roman" w:hAnsi="Times New Roman" w:eastAsia="Times New Roman" w:cs="Times New Roman"/>
          <w:spacing w:val="6"/>
        </w:rPr>
        <w:t>/</w:t>
      </w:r>
      <w:r>
        <w:rPr>
          <w:spacing w:val="6"/>
        </w:rPr>
        <w:t>年）、强迫症（</w:t>
      </w:r>
      <w:r>
        <w:rPr>
          <w:rFonts w:ascii="Times New Roman" w:hAnsi="Times New Roman" w:eastAsia="Times New Roman" w:cs="Times New Roman"/>
          <w:spacing w:val="6"/>
        </w:rPr>
        <w:t>6000</w:t>
      </w:r>
      <w:r>
        <w:rPr>
          <w:spacing w:val="6"/>
        </w:rPr>
        <w:t>元</w:t>
      </w:r>
      <w:r>
        <w:rPr>
          <w:rFonts w:ascii="Times New Roman" w:hAnsi="Times New Roman" w:eastAsia="Times New Roman" w:cs="Times New Roman"/>
          <w:spacing w:val="6"/>
        </w:rPr>
        <w:t>/</w:t>
      </w:r>
      <w:r>
        <w:rPr>
          <w:spacing w:val="6"/>
        </w:rPr>
        <w:t>年）。</w:t>
      </w:r>
    </w:p>
    <w:p w14:paraId="1C54418C">
      <w:pPr>
        <w:pStyle w:val="2"/>
        <w:spacing w:before="17" w:line="328" w:lineRule="auto"/>
        <w:ind w:left="38" w:right="127" w:firstLine="624"/>
        <w:jc w:val="both"/>
      </w:pPr>
      <w:r>
        <w:rPr>
          <w:spacing w:val="4"/>
        </w:rPr>
        <w:t>一个自然年度内，参保人门诊特殊疾病医保基金支付费用与医保基金支付的其他费用合并计算，合并后的支付金额不得超过</w:t>
      </w:r>
      <w:r>
        <w:rPr>
          <w:spacing w:val="6"/>
        </w:rPr>
        <w:t>医疗保险规定的基金最高支付限额。</w:t>
      </w:r>
    </w:p>
    <w:p w14:paraId="5FDB6EC7">
      <w:pPr>
        <w:pStyle w:val="2"/>
        <w:spacing w:line="234" w:lineRule="auto"/>
        <w:ind w:left="658"/>
      </w:pPr>
      <w:r>
        <w:rPr>
          <w:spacing w:val="2"/>
        </w:rPr>
        <w:t>第十七条门诊特殊疾病单病种结算不受药品目录限制、不</w:t>
      </w:r>
    </w:p>
    <w:p w14:paraId="465F5111">
      <w:pPr>
        <w:spacing w:line="234" w:lineRule="auto"/>
        <w:sectPr>
          <w:footerReference r:id="rId13" w:type="default"/>
          <w:pgSz w:w="11906" w:h="16839"/>
          <w:pgMar w:top="1431" w:right="1345" w:bottom="1315" w:left="1600" w:header="0" w:footer="949" w:gutter="0"/>
          <w:cols w:space="720" w:num="1"/>
        </w:sectPr>
      </w:pPr>
    </w:p>
    <w:p w14:paraId="32E11713">
      <w:pPr>
        <w:spacing w:line="255" w:lineRule="auto"/>
        <w:rPr>
          <w:rFonts w:ascii="Arial"/>
          <w:sz w:val="21"/>
        </w:rPr>
      </w:pPr>
    </w:p>
    <w:p w14:paraId="4613FD9D">
      <w:pPr>
        <w:spacing w:line="255" w:lineRule="auto"/>
        <w:rPr>
          <w:rFonts w:ascii="Arial"/>
          <w:sz w:val="21"/>
        </w:rPr>
      </w:pPr>
    </w:p>
    <w:p w14:paraId="54FCB75B">
      <w:pPr>
        <w:spacing w:line="255" w:lineRule="auto"/>
        <w:rPr>
          <w:rFonts w:ascii="Arial"/>
          <w:sz w:val="21"/>
        </w:rPr>
      </w:pPr>
    </w:p>
    <w:p w14:paraId="03944EF0">
      <w:pPr>
        <w:pStyle w:val="2"/>
        <w:spacing w:before="113" w:line="328" w:lineRule="auto"/>
        <w:ind w:left="13" w:right="49" w:firstLine="1"/>
        <w:jc w:val="both"/>
      </w:pPr>
      <w:r>
        <w:rPr>
          <w:spacing w:val="5"/>
        </w:rPr>
        <w:t>计算起付标准；门诊单病种限额标准内的实际报销额计入其职工医保或居民医保年度基金支付限额。职工医保限额标准内报销的医疗费用分别由统筹基金和大额基金支付。居民医保限额标准内报销的医疗费用由居民医保基金支付；限额标准内未报销费用计</w:t>
      </w:r>
      <w:r>
        <w:rPr>
          <w:spacing w:val="3"/>
        </w:rPr>
        <w:t>为自付费用，按规定享受居民大病医保待遇。</w:t>
      </w:r>
    </w:p>
    <w:p w14:paraId="7A94800B">
      <w:pPr>
        <w:pStyle w:val="2"/>
        <w:spacing w:before="1" w:line="328" w:lineRule="auto"/>
        <w:ind w:left="14" w:right="51" w:firstLine="644"/>
      </w:pPr>
      <w:r>
        <w:rPr>
          <w:spacing w:val="4"/>
        </w:rPr>
        <w:t>高苯丙氨酸血症（苯丙酮尿症、四氢生物蝶呤缺乏症）限额</w:t>
      </w:r>
      <w:r>
        <w:rPr>
          <w:spacing w:val="6"/>
        </w:rPr>
        <w:t>结算标准为</w:t>
      </w:r>
      <w:r>
        <w:rPr>
          <w:rFonts w:ascii="Times New Roman" w:hAnsi="Times New Roman" w:eastAsia="Times New Roman" w:cs="Times New Roman"/>
          <w:spacing w:val="6"/>
        </w:rPr>
        <w:t>1.4</w:t>
      </w:r>
      <w:r>
        <w:rPr>
          <w:spacing w:val="6"/>
        </w:rPr>
        <w:t>万元</w:t>
      </w:r>
      <w:r>
        <w:rPr>
          <w:rFonts w:ascii="Times New Roman" w:hAnsi="Times New Roman" w:eastAsia="Times New Roman" w:cs="Times New Roman"/>
          <w:spacing w:val="6"/>
        </w:rPr>
        <w:t>/</w:t>
      </w:r>
      <w:r>
        <w:rPr>
          <w:spacing w:val="6"/>
        </w:rPr>
        <w:t>年，报销比例为</w:t>
      </w:r>
      <w:r>
        <w:rPr>
          <w:rFonts w:ascii="Times New Roman" w:hAnsi="Times New Roman" w:eastAsia="Times New Roman" w:cs="Times New Roman"/>
          <w:spacing w:val="6"/>
        </w:rPr>
        <w:t>70%</w:t>
      </w:r>
      <w:r>
        <w:rPr>
          <w:spacing w:val="6"/>
        </w:rPr>
        <w:t>。</w:t>
      </w:r>
    </w:p>
    <w:p w14:paraId="1F529CEF">
      <w:pPr>
        <w:pStyle w:val="2"/>
        <w:spacing w:before="2" w:line="324" w:lineRule="auto"/>
        <w:ind w:left="14" w:right="49" w:firstLine="644"/>
        <w:jc w:val="both"/>
      </w:pPr>
      <w:r>
        <w:rPr>
          <w:spacing w:val="4"/>
        </w:rPr>
        <w:t>慢性乙型肝炎病毒感染职工医保实行单病种限额结算，限额</w:t>
      </w:r>
      <w:r>
        <w:rPr>
          <w:spacing w:val="3"/>
        </w:rPr>
        <w:t>结算标准为</w:t>
      </w:r>
      <w:r>
        <w:rPr>
          <w:rFonts w:ascii="Times New Roman" w:hAnsi="Times New Roman" w:eastAsia="Times New Roman" w:cs="Times New Roman"/>
          <w:spacing w:val="3"/>
        </w:rPr>
        <w:t>6000</w:t>
      </w:r>
      <w:r>
        <w:rPr>
          <w:spacing w:val="3"/>
        </w:rPr>
        <w:t>元</w:t>
      </w:r>
      <w:r>
        <w:rPr>
          <w:rFonts w:ascii="Times New Roman" w:hAnsi="Times New Roman" w:eastAsia="Times New Roman" w:cs="Times New Roman"/>
          <w:spacing w:val="3"/>
        </w:rPr>
        <w:t>/</w:t>
      </w:r>
      <w:r>
        <w:rPr>
          <w:spacing w:val="3"/>
        </w:rPr>
        <w:t>年，报销比例为</w:t>
      </w:r>
      <w:r>
        <w:rPr>
          <w:rFonts w:ascii="Times New Roman" w:hAnsi="Times New Roman" w:eastAsia="Times New Roman" w:cs="Times New Roman"/>
          <w:spacing w:val="3"/>
        </w:rPr>
        <w:t>80%</w:t>
      </w:r>
      <w:r>
        <w:rPr>
          <w:spacing w:val="3"/>
        </w:rPr>
        <w:t>；居民医保按二类门诊特</w:t>
      </w:r>
      <w:r>
        <w:rPr>
          <w:spacing w:val="6"/>
        </w:rPr>
        <w:t>殊疾病待遇标准保障。</w:t>
      </w:r>
    </w:p>
    <w:p w14:paraId="5B5D2867">
      <w:pPr>
        <w:pStyle w:val="2"/>
        <w:spacing w:before="23" w:line="326" w:lineRule="auto"/>
        <w:ind w:left="6" w:right="49" w:firstLine="651"/>
        <w:jc w:val="both"/>
      </w:pPr>
      <w:r>
        <w:rPr>
          <w:spacing w:val="17"/>
        </w:rPr>
        <w:t>耐药结核病患者发生的临床路径范围内住院和门诊治疗医</w:t>
      </w:r>
      <w:r>
        <w:rPr>
          <w:spacing w:val="6"/>
        </w:rPr>
        <w:t>药费用，患者自付</w:t>
      </w:r>
      <w:r>
        <w:rPr>
          <w:rFonts w:ascii="Times New Roman" w:hAnsi="Times New Roman" w:eastAsia="Times New Roman" w:cs="Times New Roman"/>
          <w:spacing w:val="6"/>
        </w:rPr>
        <w:t>10%</w:t>
      </w:r>
      <w:r>
        <w:rPr>
          <w:spacing w:val="6"/>
        </w:rPr>
        <w:t>，医保基金按照</w:t>
      </w:r>
      <w:r>
        <w:rPr>
          <w:rFonts w:ascii="Times New Roman" w:hAnsi="Times New Roman" w:eastAsia="Times New Roman" w:cs="Times New Roman"/>
          <w:spacing w:val="6"/>
        </w:rPr>
        <w:t>90%</w:t>
      </w:r>
      <w:r>
        <w:rPr>
          <w:spacing w:val="6"/>
        </w:rPr>
        <w:t>的比例予以报销，单</w:t>
      </w:r>
      <w:r>
        <w:rPr>
          <w:spacing w:val="7"/>
        </w:rPr>
        <w:t>病种年报销限额</w:t>
      </w:r>
      <w:r>
        <w:rPr>
          <w:rFonts w:ascii="Times New Roman" w:hAnsi="Times New Roman" w:eastAsia="Times New Roman" w:cs="Times New Roman"/>
          <w:spacing w:val="7"/>
        </w:rPr>
        <w:t>5</w:t>
      </w:r>
      <w:r>
        <w:rPr>
          <w:spacing w:val="7"/>
        </w:rPr>
        <w:t>万元</w:t>
      </w:r>
      <w:r>
        <w:rPr>
          <w:rFonts w:ascii="Times New Roman" w:hAnsi="Times New Roman" w:eastAsia="Times New Roman" w:cs="Times New Roman"/>
          <w:spacing w:val="7"/>
        </w:rPr>
        <w:t>/</w:t>
      </w:r>
      <w:r>
        <w:rPr>
          <w:spacing w:val="7"/>
        </w:rPr>
        <w:t>人；超过单病种限额部分费用按一类门诊</w:t>
      </w:r>
      <w:r>
        <w:rPr>
          <w:spacing w:val="8"/>
        </w:rPr>
        <w:t>特殊疾病（职工医保</w:t>
      </w:r>
      <w:r>
        <w:rPr>
          <w:rFonts w:ascii="Times New Roman" w:hAnsi="Times New Roman" w:eastAsia="Times New Roman" w:cs="Times New Roman"/>
          <w:spacing w:val="8"/>
        </w:rPr>
        <w:t>80%</w:t>
      </w:r>
      <w:r>
        <w:rPr>
          <w:spacing w:val="8"/>
        </w:rPr>
        <w:t>）和住院政策予以报销。</w:t>
      </w:r>
    </w:p>
    <w:p w14:paraId="3D767FAD">
      <w:pPr>
        <w:pStyle w:val="2"/>
        <w:spacing w:before="15" w:line="323" w:lineRule="auto"/>
        <w:ind w:left="13" w:firstLine="659"/>
        <w:jc w:val="both"/>
      </w:pPr>
      <w:r>
        <w:rPr>
          <w:spacing w:val="4"/>
        </w:rPr>
        <w:t>恶性肿瘤中的非小细胞肺癌、慢性髓性白血病、胃</w:t>
      </w:r>
      <w:r>
        <w:rPr>
          <w:spacing w:val="3"/>
        </w:rPr>
        <w:t>肠间质瘤</w:t>
      </w:r>
      <w:r>
        <w:rPr>
          <w:spacing w:val="5"/>
        </w:rPr>
        <w:t>经本人或被委托人向医保经办机构申请，其在门诊治疗发生的医疗费用可实行门诊单病种结算或常规项目结算；选定一种结算方</w:t>
      </w:r>
      <w:r>
        <w:rPr>
          <w:spacing w:val="7"/>
        </w:rPr>
        <w:t>式且发生门诊特殊疾病费用后一个自然年度内不得变更</w:t>
      </w:r>
      <w:r>
        <w:rPr>
          <w:spacing w:val="6"/>
        </w:rPr>
        <w:t>。其中：</w:t>
      </w:r>
    </w:p>
    <w:p w14:paraId="7AA7D260">
      <w:pPr>
        <w:pStyle w:val="2"/>
        <w:spacing w:before="1" w:line="331" w:lineRule="auto"/>
        <w:ind w:left="23" w:right="50" w:firstLine="638"/>
      </w:pPr>
      <w:r>
        <w:rPr>
          <w:spacing w:val="10"/>
        </w:rPr>
        <w:t>非小细胞肺癌职工医保和居民医保单病种限额结算标准为</w:t>
      </w:r>
      <w:r>
        <w:rPr>
          <w:rFonts w:ascii="Times New Roman" w:hAnsi="Times New Roman" w:eastAsia="Times New Roman" w:cs="Times New Roman"/>
          <w:spacing w:val="10"/>
        </w:rPr>
        <w:t>4</w:t>
      </w:r>
      <w:r>
        <w:rPr>
          <w:spacing w:val="8"/>
        </w:rPr>
        <w:t>万元</w:t>
      </w:r>
      <w:r>
        <w:rPr>
          <w:rFonts w:ascii="Times New Roman" w:hAnsi="Times New Roman" w:eastAsia="Times New Roman" w:cs="Times New Roman"/>
          <w:spacing w:val="8"/>
        </w:rPr>
        <w:t>/</w:t>
      </w:r>
      <w:r>
        <w:rPr>
          <w:spacing w:val="8"/>
        </w:rPr>
        <w:t>年，报销比例按就医医疗机构住院报销比例结算；</w:t>
      </w:r>
    </w:p>
    <w:p w14:paraId="17B02E66">
      <w:pPr>
        <w:spacing w:line="331" w:lineRule="auto"/>
        <w:sectPr>
          <w:footerReference r:id="rId14" w:type="default"/>
          <w:pgSz w:w="11906" w:h="16839"/>
          <w:pgMar w:top="1431" w:right="1423" w:bottom="1315" w:left="1595" w:header="0" w:footer="949" w:gutter="0"/>
          <w:cols w:space="720" w:num="1"/>
        </w:sectPr>
      </w:pPr>
    </w:p>
    <w:p w14:paraId="13FA59E1">
      <w:pPr>
        <w:spacing w:line="254" w:lineRule="auto"/>
        <w:rPr>
          <w:rFonts w:ascii="Arial"/>
          <w:sz w:val="21"/>
        </w:rPr>
      </w:pPr>
    </w:p>
    <w:p w14:paraId="4A77AE97">
      <w:pPr>
        <w:spacing w:line="254" w:lineRule="auto"/>
        <w:rPr>
          <w:rFonts w:ascii="Arial"/>
          <w:sz w:val="21"/>
        </w:rPr>
      </w:pPr>
    </w:p>
    <w:p w14:paraId="141C7B74">
      <w:pPr>
        <w:spacing w:line="255" w:lineRule="auto"/>
        <w:rPr>
          <w:rFonts w:ascii="Arial"/>
          <w:sz w:val="21"/>
        </w:rPr>
      </w:pPr>
    </w:p>
    <w:p w14:paraId="2814BAB2">
      <w:pPr>
        <w:pStyle w:val="2"/>
        <w:spacing w:before="113" w:line="324" w:lineRule="auto"/>
        <w:ind w:left="4" w:firstLine="644"/>
        <w:jc w:val="both"/>
      </w:pPr>
      <w:r>
        <w:rPr>
          <w:spacing w:val="4"/>
        </w:rPr>
        <w:t>慢性髓性白血病、胃肠间质瘤职工医保和居民医保单病种限</w:t>
      </w:r>
      <w:r>
        <w:rPr>
          <w:spacing w:val="7"/>
        </w:rPr>
        <w:t>额结算标准为</w:t>
      </w:r>
      <w:r>
        <w:rPr>
          <w:rFonts w:ascii="Times New Roman" w:hAnsi="Times New Roman" w:eastAsia="Times New Roman" w:cs="Times New Roman"/>
          <w:spacing w:val="7"/>
        </w:rPr>
        <w:t>6</w:t>
      </w:r>
      <w:r>
        <w:rPr>
          <w:spacing w:val="7"/>
        </w:rPr>
        <w:t>万元</w:t>
      </w:r>
      <w:r>
        <w:rPr>
          <w:rFonts w:ascii="Times New Roman" w:hAnsi="Times New Roman" w:eastAsia="Times New Roman" w:cs="Times New Roman"/>
          <w:spacing w:val="7"/>
        </w:rPr>
        <w:t>/</w:t>
      </w:r>
      <w:r>
        <w:rPr>
          <w:spacing w:val="7"/>
        </w:rPr>
        <w:t>年，报销比例按就医医疗机构住院报销比例</w:t>
      </w:r>
      <w:r>
        <w:rPr>
          <w:spacing w:val="-2"/>
        </w:rPr>
        <w:t>结算。</w:t>
      </w:r>
    </w:p>
    <w:p w14:paraId="2B8C6D5D">
      <w:pPr>
        <w:pStyle w:val="2"/>
        <w:spacing w:before="21" w:line="298" w:lineRule="auto"/>
        <w:ind w:right="2" w:firstLine="653"/>
      </w:pPr>
      <w:r>
        <w:rPr>
          <w:spacing w:val="13"/>
        </w:rPr>
        <w:t>第十八条门诊特殊疾病就诊时发生的按定额报销的门诊</w:t>
      </w:r>
      <w:r>
        <w:rPr>
          <w:spacing w:val="5"/>
        </w:rPr>
        <w:t>诊察费、一般诊疗费不计入门诊特殊疾病支付限额；发生的按比</w:t>
      </w:r>
      <w:r>
        <w:rPr>
          <w:spacing w:val="8"/>
        </w:rPr>
        <w:t>例报销的门诊诊查费纳入门诊特殊疾病报销范围。</w:t>
      </w:r>
    </w:p>
    <w:p w14:paraId="40600711">
      <w:pPr>
        <w:pStyle w:val="2"/>
        <w:spacing w:before="172" w:line="283" w:lineRule="auto"/>
        <w:ind w:left="2" w:firstLine="650"/>
      </w:pPr>
      <w:r>
        <w:rPr>
          <w:spacing w:val="5"/>
        </w:rPr>
        <w:t>第十九条下列情形产生的医疗费用，不按门诊特殊疾病待</w:t>
      </w:r>
      <w:r>
        <w:rPr>
          <w:spacing w:val="4"/>
        </w:rPr>
        <w:t>遇政策支付：</w:t>
      </w:r>
    </w:p>
    <w:p w14:paraId="003DFF7C">
      <w:pPr>
        <w:pStyle w:val="2"/>
        <w:spacing w:before="171" w:line="234" w:lineRule="auto"/>
        <w:ind w:left="612"/>
      </w:pPr>
      <w:r>
        <w:rPr>
          <w:spacing w:val="10"/>
        </w:rPr>
        <w:t>（一）未获得门诊特殊疾病病种资格产生的医</w:t>
      </w:r>
      <w:r>
        <w:rPr>
          <w:spacing w:val="9"/>
        </w:rPr>
        <w:t>疗费用；</w:t>
      </w:r>
    </w:p>
    <w:p w14:paraId="293E6B79">
      <w:pPr>
        <w:pStyle w:val="2"/>
        <w:spacing w:before="177" w:line="234" w:lineRule="auto"/>
        <w:ind w:left="612"/>
      </w:pPr>
      <w:r>
        <w:rPr>
          <w:spacing w:val="10"/>
        </w:rPr>
        <w:t>（二）超出《保障指南》支付范围的医疗费</w:t>
      </w:r>
      <w:r>
        <w:rPr>
          <w:spacing w:val="9"/>
        </w:rPr>
        <w:t>用；</w:t>
      </w:r>
    </w:p>
    <w:p w14:paraId="6A53922E">
      <w:pPr>
        <w:pStyle w:val="2"/>
        <w:spacing w:before="180" w:line="237" w:lineRule="auto"/>
        <w:ind w:left="612"/>
      </w:pPr>
      <w:r>
        <w:rPr>
          <w:spacing w:val="10"/>
        </w:rPr>
        <w:t>（三）其他不属于基本医疗保险支付范围的医</w:t>
      </w:r>
      <w:r>
        <w:rPr>
          <w:spacing w:val="9"/>
        </w:rPr>
        <w:t>疗费用。</w:t>
      </w:r>
    </w:p>
    <w:p w14:paraId="55234EC9">
      <w:pPr>
        <w:spacing w:line="332" w:lineRule="auto"/>
        <w:rPr>
          <w:rFonts w:ascii="Arial"/>
          <w:sz w:val="21"/>
        </w:rPr>
      </w:pPr>
    </w:p>
    <w:p w14:paraId="7FECD244">
      <w:pPr>
        <w:spacing w:line="332" w:lineRule="auto"/>
        <w:rPr>
          <w:rFonts w:ascii="Arial"/>
          <w:sz w:val="21"/>
        </w:rPr>
      </w:pPr>
    </w:p>
    <w:p w14:paraId="1E724523">
      <w:pPr>
        <w:spacing w:before="117" w:line="242" w:lineRule="auto"/>
        <w:ind w:left="3220"/>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t>第五章就医管理</w:t>
      </w:r>
    </w:p>
    <w:p w14:paraId="5F658B0B">
      <w:pPr>
        <w:spacing w:line="339" w:lineRule="auto"/>
        <w:rPr>
          <w:rFonts w:ascii="Arial"/>
          <w:sz w:val="21"/>
        </w:rPr>
      </w:pPr>
    </w:p>
    <w:p w14:paraId="7481A948">
      <w:pPr>
        <w:spacing w:line="340" w:lineRule="auto"/>
        <w:rPr>
          <w:rFonts w:ascii="Arial"/>
          <w:sz w:val="21"/>
        </w:rPr>
      </w:pPr>
    </w:p>
    <w:p w14:paraId="52FF6A98">
      <w:pPr>
        <w:pStyle w:val="2"/>
        <w:spacing w:before="113" w:line="341" w:lineRule="auto"/>
        <w:ind w:firstLine="653"/>
      </w:pPr>
      <w:r>
        <w:rPr>
          <w:spacing w:val="9"/>
        </w:rPr>
        <w:t>第二十条各级医保经办机构根据定点医疗机构执业范围、</w:t>
      </w:r>
      <w:r>
        <w:rPr>
          <w:spacing w:val="5"/>
        </w:rPr>
        <w:t>医疗服务能力、门诊特殊疾病诊疗所需设施设备及信息系统建设是否符合规定等条件，确定其门诊特殊疾病治疗资格。门诊特殊疾病治疗机构在其执业范围内可为参保人提供医疗服务。医保信息系统全面详实记录参保人门诊特殊疾病就诊定点医疗机构、诊</w:t>
      </w:r>
      <w:r>
        <w:rPr>
          <w:spacing w:val="17"/>
        </w:rPr>
        <w:t>查治疗和用药明细等信息，定点医疗机构可查询</w:t>
      </w:r>
      <w:r>
        <w:rPr>
          <w:spacing w:val="16"/>
        </w:rPr>
        <w:t>参保人就诊记</w:t>
      </w:r>
    </w:p>
    <w:p w14:paraId="17BECCDA">
      <w:pPr>
        <w:spacing w:line="341" w:lineRule="auto"/>
        <w:sectPr>
          <w:footerReference r:id="rId15" w:type="default"/>
          <w:pgSz w:w="11906" w:h="16839"/>
          <w:pgMar w:top="1431" w:right="1473" w:bottom="1315" w:left="1605" w:header="0" w:footer="947" w:gutter="0"/>
          <w:cols w:space="720" w:num="1"/>
        </w:sectPr>
      </w:pPr>
    </w:p>
    <w:p w14:paraId="180F01A3">
      <w:pPr>
        <w:spacing w:line="258" w:lineRule="auto"/>
        <w:rPr>
          <w:rFonts w:ascii="Arial"/>
          <w:sz w:val="21"/>
        </w:rPr>
      </w:pPr>
    </w:p>
    <w:p w14:paraId="11D4C6C3">
      <w:pPr>
        <w:spacing w:line="259" w:lineRule="auto"/>
        <w:rPr>
          <w:rFonts w:ascii="Arial"/>
          <w:sz w:val="21"/>
        </w:rPr>
      </w:pPr>
    </w:p>
    <w:p w14:paraId="2D1F52B8">
      <w:pPr>
        <w:spacing w:line="259" w:lineRule="auto"/>
        <w:rPr>
          <w:rFonts w:ascii="Arial"/>
          <w:sz w:val="21"/>
        </w:rPr>
      </w:pPr>
    </w:p>
    <w:p w14:paraId="68FFAC29">
      <w:pPr>
        <w:pStyle w:val="2"/>
        <w:spacing w:before="113" w:line="339" w:lineRule="auto"/>
        <w:ind w:left="8" w:right="125" w:firstLine="12"/>
        <w:jc w:val="both"/>
      </w:pPr>
      <w:r>
        <w:rPr>
          <w:spacing w:val="5"/>
        </w:rPr>
        <w:t>录。参保人因门诊特殊疾病到定点医疗机构就</w:t>
      </w:r>
      <w:r>
        <w:rPr>
          <w:spacing w:val="4"/>
        </w:rPr>
        <w:t>诊后，可在就医的</w:t>
      </w:r>
      <w:r>
        <w:rPr>
          <w:spacing w:val="5"/>
        </w:rPr>
        <w:t>定点医疗机构取药，也可按规定到基本医保门诊特殊疾病定点零售药店购药。参保人因门诊特殊疾病开具国家谈判药品，可按规定到国家谈判药品定点零售药店购药，药店购药按开具处方的定</w:t>
      </w:r>
      <w:r>
        <w:rPr>
          <w:spacing w:val="7"/>
        </w:rPr>
        <w:t>点医疗机构等级结算。</w:t>
      </w:r>
    </w:p>
    <w:p w14:paraId="26EF2A3D">
      <w:pPr>
        <w:pStyle w:val="2"/>
        <w:spacing w:before="6" w:line="315" w:lineRule="auto"/>
        <w:ind w:left="14" w:right="125" w:firstLine="648"/>
      </w:pPr>
      <w:r>
        <w:rPr>
          <w:spacing w:val="15"/>
        </w:rPr>
        <w:t>第二十一条定点医疗机构应严格按照相关疾病诊疗指南</w:t>
      </w:r>
      <w:r>
        <w:rPr>
          <w:spacing w:val="5"/>
        </w:rPr>
        <w:t>规范用药，具备条件的医师可按规定对符合条件的门诊特殊</w:t>
      </w:r>
      <w:r>
        <w:rPr>
          <w:spacing w:val="4"/>
        </w:rPr>
        <w:t>疾病</w:t>
      </w:r>
      <w:r>
        <w:rPr>
          <w:spacing w:val="10"/>
        </w:rPr>
        <w:t>患者开具长期处方，长期处方的处方量一般在</w:t>
      </w:r>
      <w:r>
        <w:rPr>
          <w:rFonts w:ascii="Times New Roman" w:hAnsi="Times New Roman" w:eastAsia="Times New Roman" w:cs="Times New Roman"/>
          <w:spacing w:val="10"/>
        </w:rPr>
        <w:t>4</w:t>
      </w:r>
      <w:r>
        <w:rPr>
          <w:spacing w:val="10"/>
        </w:rPr>
        <w:t>周以内；根据慢</w:t>
      </w:r>
      <w:r>
        <w:rPr>
          <w:spacing w:val="8"/>
        </w:rPr>
        <w:t>性病特点，病情稳定的患者可适当延长，最长不超过</w:t>
      </w:r>
      <w:r>
        <w:rPr>
          <w:rFonts w:ascii="Times New Roman" w:hAnsi="Times New Roman" w:eastAsia="Times New Roman" w:cs="Times New Roman"/>
          <w:spacing w:val="8"/>
        </w:rPr>
        <w:t>12</w:t>
      </w:r>
      <w:r>
        <w:rPr>
          <w:spacing w:val="8"/>
        </w:rPr>
        <w:t>周。</w:t>
      </w:r>
    </w:p>
    <w:p w14:paraId="7054EC59">
      <w:pPr>
        <w:pStyle w:val="2"/>
        <w:spacing w:before="182" w:line="327" w:lineRule="auto"/>
        <w:ind w:left="8" w:firstLine="654"/>
      </w:pPr>
      <w:r>
        <w:rPr>
          <w:spacing w:val="14"/>
        </w:rPr>
        <w:t>第二十二条医师应坚持中医辨证施治原则，根据患者病</w:t>
      </w:r>
      <w:r>
        <w:rPr>
          <w:spacing w:val="5"/>
        </w:rPr>
        <w:t>情、体质等因素，合理选用中成药及中药饮片，避免不必要的重</w:t>
      </w:r>
      <w:r>
        <w:rPr>
          <w:spacing w:val="11"/>
        </w:rPr>
        <w:t>复用药或不合理用药，原则上同一类的中成药</w:t>
      </w:r>
      <w:r>
        <w:rPr>
          <w:spacing w:val="10"/>
        </w:rPr>
        <w:t>只能开具</w:t>
      </w:r>
      <w:r>
        <w:rPr>
          <w:rFonts w:ascii="Times New Roman" w:hAnsi="Times New Roman" w:eastAsia="Times New Roman" w:cs="Times New Roman"/>
          <w:spacing w:val="10"/>
        </w:rPr>
        <w:t>1</w:t>
      </w:r>
      <w:r>
        <w:rPr>
          <w:spacing w:val="10"/>
        </w:rPr>
        <w:t>种；确</w:t>
      </w:r>
      <w:r>
        <w:rPr>
          <w:spacing w:val="5"/>
        </w:rPr>
        <w:t>因病情需要，应遵循药理作用相同或相似的同类药品不叠加使用</w:t>
      </w:r>
      <w:r>
        <w:rPr>
          <w:spacing w:val="3"/>
        </w:rPr>
        <w:t>原则，由医师详细记录并说明理由。定点医疗机构应开展处方点</w:t>
      </w:r>
      <w:r>
        <w:rPr>
          <w:spacing w:val="-2"/>
        </w:rPr>
        <w:t>评，对不合理用药及时采取干预措施，保障患者用药安全、有效、</w:t>
      </w:r>
      <w:r>
        <w:rPr>
          <w:spacing w:val="5"/>
        </w:rPr>
        <w:t>经济。医师应当严格按照药事管理和医疗技术操作规范等有关规定，规范诊疗和用药行为，切实做到合理检查、合理用药、合理</w:t>
      </w:r>
      <w:r>
        <w:t>治疗。</w:t>
      </w:r>
    </w:p>
    <w:p w14:paraId="79D533C9">
      <w:pPr>
        <w:pStyle w:val="2"/>
        <w:spacing w:before="192" w:line="236" w:lineRule="auto"/>
        <w:ind w:left="663"/>
      </w:pPr>
      <w:r>
        <w:rPr>
          <w:spacing w:val="14"/>
        </w:rPr>
        <w:t>第二十三条门诊特殊疾病待遇资格在医保信息系统中予</w:t>
      </w:r>
    </w:p>
    <w:p w14:paraId="17AD2775">
      <w:pPr>
        <w:spacing w:line="236" w:lineRule="auto"/>
        <w:sectPr>
          <w:footerReference r:id="rId16" w:type="default"/>
          <w:pgSz w:w="11906" w:h="16839"/>
          <w:pgMar w:top="1431" w:right="1350" w:bottom="1315" w:left="1595" w:header="0" w:footer="947" w:gutter="0"/>
          <w:cols w:space="720" w:num="1"/>
        </w:sectPr>
      </w:pPr>
    </w:p>
    <w:p w14:paraId="755C572B">
      <w:pPr>
        <w:spacing w:line="259" w:lineRule="auto"/>
        <w:rPr>
          <w:rFonts w:ascii="Arial"/>
          <w:sz w:val="21"/>
        </w:rPr>
      </w:pPr>
    </w:p>
    <w:p w14:paraId="4E7E9033">
      <w:pPr>
        <w:spacing w:line="259" w:lineRule="auto"/>
        <w:rPr>
          <w:rFonts w:ascii="Arial"/>
          <w:sz w:val="21"/>
        </w:rPr>
      </w:pPr>
    </w:p>
    <w:p w14:paraId="51FACD84">
      <w:pPr>
        <w:spacing w:line="260" w:lineRule="auto"/>
        <w:rPr>
          <w:rFonts w:ascii="Arial"/>
          <w:sz w:val="21"/>
        </w:rPr>
      </w:pPr>
    </w:p>
    <w:p w14:paraId="38AEA86D">
      <w:pPr>
        <w:pStyle w:val="2"/>
        <w:spacing w:before="113" w:line="335" w:lineRule="auto"/>
        <w:ind w:left="41" w:right="2"/>
      </w:pPr>
      <w:r>
        <w:rPr>
          <w:spacing w:val="4"/>
        </w:rPr>
        <w:t>以详细记录，参保人在定点医疗机构就医时，应当提</w:t>
      </w:r>
      <w:r>
        <w:rPr>
          <w:spacing w:val="3"/>
        </w:rPr>
        <w:t>供本人医保</w:t>
      </w:r>
      <w:r>
        <w:rPr>
          <w:spacing w:val="5"/>
        </w:rPr>
        <w:t>电子凭证或社会保障卡等身份证明。</w:t>
      </w:r>
    </w:p>
    <w:p w14:paraId="1364E869">
      <w:pPr>
        <w:pStyle w:val="2"/>
        <w:spacing w:before="2" w:line="281" w:lineRule="auto"/>
        <w:ind w:left="21" w:right="2" w:firstLine="637"/>
      </w:pPr>
      <w:r>
        <w:rPr>
          <w:spacing w:val="17"/>
        </w:rPr>
        <w:t>第二十四条鼓励具备条件的定点医疗机构探索开展门诊</w:t>
      </w:r>
      <w:r>
        <w:rPr>
          <w:spacing w:val="7"/>
        </w:rPr>
        <w:t>患者互联网诊疗服务，提升服务效率。</w:t>
      </w:r>
    </w:p>
    <w:p w14:paraId="6C884FB2">
      <w:pPr>
        <w:pStyle w:val="2"/>
        <w:spacing w:before="178" w:line="310" w:lineRule="auto"/>
        <w:ind w:firstLine="658"/>
      </w:pPr>
      <w:r>
        <w:rPr>
          <w:spacing w:val="5"/>
        </w:rPr>
        <w:t>第二十五条取得我市门诊特殊疾病资格，在跨省异地进行</w:t>
      </w:r>
      <w:r>
        <w:rPr>
          <w:spacing w:val="17"/>
        </w:rPr>
        <w:t>门诊特殊疾病治疗的参保人，需进行门诊特殊疾病异地就医备</w:t>
      </w:r>
      <w:r>
        <w:rPr>
          <w:spacing w:val="5"/>
        </w:rPr>
        <w:t>案，并在备案地选择</w:t>
      </w:r>
      <w:r>
        <w:rPr>
          <w:rFonts w:ascii="Times New Roman" w:hAnsi="Times New Roman" w:eastAsia="Times New Roman" w:cs="Times New Roman"/>
          <w:spacing w:val="5"/>
        </w:rPr>
        <w:t>1</w:t>
      </w:r>
      <w:r>
        <w:rPr>
          <w:spacing w:val="5"/>
        </w:rPr>
        <w:t>—</w:t>
      </w:r>
      <w:r>
        <w:rPr>
          <w:rFonts w:ascii="Times New Roman" w:hAnsi="Times New Roman" w:eastAsia="Times New Roman" w:cs="Times New Roman"/>
          <w:spacing w:val="5"/>
        </w:rPr>
        <w:t>2</w:t>
      </w:r>
      <w:r>
        <w:rPr>
          <w:spacing w:val="5"/>
        </w:rPr>
        <w:t>家定点医疗机构作为治疗机构，其发生的门诊特殊疾病医疗费用，按本办法享受门诊特殊疾病基本医疗保险待遇。</w:t>
      </w:r>
    </w:p>
    <w:p w14:paraId="5F2F3AE5">
      <w:pPr>
        <w:spacing w:line="331" w:lineRule="auto"/>
        <w:rPr>
          <w:rFonts w:ascii="Arial"/>
          <w:sz w:val="21"/>
        </w:rPr>
      </w:pPr>
    </w:p>
    <w:p w14:paraId="23AE9DC1">
      <w:pPr>
        <w:spacing w:line="332" w:lineRule="auto"/>
        <w:rPr>
          <w:rFonts w:ascii="Arial"/>
          <w:sz w:val="21"/>
        </w:rPr>
      </w:pPr>
    </w:p>
    <w:p w14:paraId="7F7E6922">
      <w:pPr>
        <w:spacing w:before="115" w:line="241" w:lineRule="auto"/>
        <w:ind w:left="2824"/>
        <w:rPr>
          <w:rFonts w:ascii="方正黑体_GBK" w:hAnsi="方正黑体_GBK" w:eastAsia="方正黑体_GBK" w:cs="方正黑体_GBK"/>
          <w:sz w:val="31"/>
          <w:szCs w:val="31"/>
        </w:rPr>
      </w:pPr>
      <w:r>
        <w:rPr>
          <w:rFonts w:ascii="方正黑体_GBK" w:hAnsi="方正黑体_GBK" w:eastAsia="方正黑体_GBK" w:cs="方正黑体_GBK"/>
          <w:spacing w:val="5"/>
          <w:sz w:val="31"/>
          <w:szCs w:val="31"/>
        </w:rPr>
        <w:t>第六章费用结算管理</w:t>
      </w:r>
    </w:p>
    <w:p w14:paraId="0B4E4768">
      <w:pPr>
        <w:spacing w:line="330" w:lineRule="auto"/>
        <w:rPr>
          <w:rFonts w:ascii="Arial"/>
          <w:sz w:val="21"/>
        </w:rPr>
      </w:pPr>
    </w:p>
    <w:p w14:paraId="073E6DF4">
      <w:pPr>
        <w:spacing w:line="331" w:lineRule="auto"/>
        <w:rPr>
          <w:rFonts w:ascii="Arial"/>
          <w:sz w:val="21"/>
        </w:rPr>
      </w:pPr>
    </w:p>
    <w:p w14:paraId="38AB8295">
      <w:pPr>
        <w:pStyle w:val="2"/>
        <w:spacing w:before="114" w:line="298" w:lineRule="auto"/>
        <w:ind w:left="2" w:right="2" w:firstLine="655"/>
      </w:pPr>
      <w:r>
        <w:rPr>
          <w:spacing w:val="14"/>
        </w:rPr>
        <w:t>第二十六条门诊特殊疾病医疗费用中由医保基金负担的</w:t>
      </w:r>
      <w:r>
        <w:rPr>
          <w:spacing w:val="3"/>
        </w:rPr>
        <w:t>部分，由医保经办机构与医疗机构按规定即时结算。门诊特殊疾</w:t>
      </w:r>
      <w:r>
        <w:rPr>
          <w:spacing w:val="9"/>
        </w:rPr>
        <w:t>病医保基金支付费用纳入定点医疗机构总额控制</w:t>
      </w:r>
      <w:r>
        <w:rPr>
          <w:spacing w:val="8"/>
        </w:rPr>
        <w:t>范围。</w:t>
      </w:r>
    </w:p>
    <w:p w14:paraId="579ADD2C">
      <w:pPr>
        <w:pStyle w:val="2"/>
        <w:spacing w:before="175" w:line="310" w:lineRule="auto"/>
        <w:ind w:left="9" w:firstLine="648"/>
      </w:pPr>
      <w:r>
        <w:rPr>
          <w:spacing w:val="1"/>
        </w:rPr>
        <w:t>第二十七条已纳入异地联网结算的门诊特殊疾病病种，按</w:t>
      </w:r>
      <w:r>
        <w:rPr>
          <w:spacing w:val="5"/>
        </w:rPr>
        <w:t>照异地联网结算相关规定进行联网结算。未纳入异地联网结算的</w:t>
      </w:r>
      <w:r>
        <w:rPr>
          <w:spacing w:val="3"/>
        </w:rPr>
        <w:t>病种，由个人全额垫付，持以下材料到医保经办机构或其</w:t>
      </w:r>
      <w:r>
        <w:rPr>
          <w:spacing w:val="2"/>
        </w:rPr>
        <w:t>指定的</w:t>
      </w:r>
      <w:r>
        <w:rPr>
          <w:spacing w:val="5"/>
        </w:rPr>
        <w:t>医保服务站、社区卫生中心（镇卫生院）等机构按本办法待遇保</w:t>
      </w:r>
      <w:r>
        <w:rPr>
          <w:spacing w:val="6"/>
        </w:rPr>
        <w:t>障规定进行手工报销：</w:t>
      </w:r>
    </w:p>
    <w:p w14:paraId="6203F71F">
      <w:pPr>
        <w:spacing w:line="310" w:lineRule="auto"/>
        <w:sectPr>
          <w:footerReference r:id="rId17" w:type="default"/>
          <w:pgSz w:w="11906" w:h="16839"/>
          <w:pgMar w:top="1431" w:right="1473" w:bottom="1315" w:left="1600" w:header="0" w:footer="949" w:gutter="0"/>
          <w:cols w:space="720" w:num="1"/>
        </w:sectPr>
      </w:pPr>
    </w:p>
    <w:p w14:paraId="5834E3A2">
      <w:pPr>
        <w:spacing w:line="254" w:lineRule="auto"/>
        <w:rPr>
          <w:rFonts w:ascii="Arial"/>
          <w:sz w:val="21"/>
        </w:rPr>
      </w:pPr>
    </w:p>
    <w:p w14:paraId="111376EB">
      <w:pPr>
        <w:spacing w:line="254" w:lineRule="auto"/>
        <w:rPr>
          <w:rFonts w:ascii="Arial"/>
          <w:sz w:val="21"/>
        </w:rPr>
      </w:pPr>
    </w:p>
    <w:p w14:paraId="1177D5F5">
      <w:pPr>
        <w:spacing w:line="254" w:lineRule="auto"/>
        <w:rPr>
          <w:rFonts w:ascii="Arial"/>
          <w:sz w:val="21"/>
        </w:rPr>
      </w:pPr>
    </w:p>
    <w:p w14:paraId="4DF33872">
      <w:pPr>
        <w:pStyle w:val="2"/>
        <w:spacing w:before="114" w:line="234" w:lineRule="auto"/>
        <w:ind w:left="622"/>
      </w:pPr>
      <w:r>
        <w:rPr>
          <w:spacing w:val="7"/>
        </w:rPr>
        <w:t>（一）医保电子凭证或有效身份证件或社保卡；</w:t>
      </w:r>
    </w:p>
    <w:p w14:paraId="163B62E2">
      <w:pPr>
        <w:pStyle w:val="2"/>
        <w:spacing w:before="179" w:line="234" w:lineRule="auto"/>
        <w:ind w:left="622"/>
      </w:pPr>
      <w:r>
        <w:rPr>
          <w:spacing w:val="5"/>
        </w:rPr>
        <w:t>（二）医药机构收费票据；</w:t>
      </w:r>
    </w:p>
    <w:p w14:paraId="15620944">
      <w:pPr>
        <w:pStyle w:val="2"/>
        <w:spacing w:before="177" w:line="234" w:lineRule="auto"/>
        <w:ind w:left="622"/>
      </w:pPr>
      <w:r>
        <w:rPr>
          <w:spacing w:val="3"/>
        </w:rPr>
        <w:t>（三）门诊费用清单；</w:t>
      </w:r>
    </w:p>
    <w:p w14:paraId="7306258B">
      <w:pPr>
        <w:pStyle w:val="2"/>
        <w:spacing w:before="176" w:line="229" w:lineRule="auto"/>
        <w:ind w:left="622"/>
      </w:pPr>
      <w:r>
        <w:rPr>
          <w:spacing w:val="6"/>
        </w:rPr>
        <w:t>（四）病历资料（含处方底方或急诊诊断证明</w:t>
      </w:r>
      <w:r>
        <w:rPr>
          <w:spacing w:val="3"/>
        </w:rPr>
        <w:t>）；</w:t>
      </w:r>
    </w:p>
    <w:p w14:paraId="50FC9B38">
      <w:pPr>
        <w:pStyle w:val="2"/>
        <w:spacing w:before="189" w:line="237" w:lineRule="auto"/>
        <w:ind w:left="622"/>
      </w:pPr>
      <w:r>
        <w:rPr>
          <w:spacing w:val="9"/>
        </w:rPr>
        <w:t>（五）银行账户信息。</w:t>
      </w:r>
    </w:p>
    <w:p w14:paraId="134F5383">
      <w:pPr>
        <w:spacing w:line="332" w:lineRule="auto"/>
        <w:rPr>
          <w:rFonts w:ascii="Arial"/>
          <w:sz w:val="21"/>
        </w:rPr>
      </w:pPr>
    </w:p>
    <w:p w14:paraId="5DEF646E">
      <w:pPr>
        <w:spacing w:line="333" w:lineRule="auto"/>
        <w:rPr>
          <w:rFonts w:ascii="Arial"/>
          <w:sz w:val="21"/>
        </w:rPr>
      </w:pPr>
    </w:p>
    <w:p w14:paraId="71AD2905">
      <w:pPr>
        <w:spacing w:before="116" w:line="241" w:lineRule="auto"/>
        <w:ind w:left="2510"/>
        <w:rPr>
          <w:rFonts w:ascii="方正黑体_GBK" w:hAnsi="方正黑体_GBK" w:eastAsia="方正黑体_GBK" w:cs="方正黑体_GBK"/>
          <w:sz w:val="31"/>
          <w:szCs w:val="31"/>
        </w:rPr>
      </w:pPr>
      <w:r>
        <w:rPr>
          <w:rFonts w:ascii="方正黑体_GBK" w:hAnsi="方正黑体_GBK" w:eastAsia="方正黑体_GBK" w:cs="方正黑体_GBK"/>
          <w:sz w:val="31"/>
          <w:szCs w:val="31"/>
        </w:rPr>
        <w:t>第七章门（急）诊危重病</w:t>
      </w:r>
    </w:p>
    <w:p w14:paraId="62D3E9F6">
      <w:pPr>
        <w:spacing w:line="330" w:lineRule="auto"/>
        <w:rPr>
          <w:rFonts w:ascii="Arial"/>
          <w:sz w:val="21"/>
        </w:rPr>
      </w:pPr>
    </w:p>
    <w:p w14:paraId="2175924E">
      <w:pPr>
        <w:spacing w:line="331" w:lineRule="auto"/>
        <w:rPr>
          <w:rFonts w:ascii="Arial"/>
          <w:sz w:val="21"/>
        </w:rPr>
      </w:pPr>
    </w:p>
    <w:p w14:paraId="205A9BCC">
      <w:pPr>
        <w:pStyle w:val="2"/>
        <w:spacing w:before="114" w:line="312" w:lineRule="auto"/>
        <w:ind w:left="6" w:firstLine="657"/>
      </w:pPr>
      <w:r>
        <w:rPr>
          <w:spacing w:val="-9"/>
        </w:rPr>
        <w:t>第二十八条参保人因患危重疾病在门（急）诊实施抢救（医</w:t>
      </w:r>
      <w:r>
        <w:rPr>
          <w:spacing w:val="5"/>
        </w:rPr>
        <w:t>疗费用中包含各类大、中、小抢救项目并有相应抢救记录）所发</w:t>
      </w:r>
      <w:r>
        <w:rPr>
          <w:spacing w:val="9"/>
        </w:rPr>
        <w:t>生的费用，经抢救后未入院者参照住院报销；经抢救后入院者，</w:t>
      </w:r>
      <w:r>
        <w:rPr>
          <w:spacing w:val="5"/>
        </w:rPr>
        <w:t>其门（急）诊抢救费用与本次住院费用合并计算；门（急）诊危</w:t>
      </w:r>
      <w:r>
        <w:rPr>
          <w:spacing w:val="1"/>
        </w:rPr>
        <w:t>重疾病的抢救费用从实施抢救时开始计算，时间最长不超过</w:t>
      </w:r>
      <w:r>
        <w:rPr>
          <w:rFonts w:ascii="Times New Roman" w:hAnsi="Times New Roman" w:eastAsia="Times New Roman" w:cs="Times New Roman"/>
          <w:spacing w:val="1"/>
        </w:rPr>
        <w:t>3</w:t>
      </w:r>
      <w:r>
        <w:rPr>
          <w:spacing w:val="1"/>
        </w:rPr>
        <w:t>日。</w:t>
      </w:r>
    </w:p>
    <w:p w14:paraId="5CFF18E6">
      <w:pPr>
        <w:pStyle w:val="2"/>
        <w:spacing w:before="159" w:line="303" w:lineRule="auto"/>
        <w:ind w:left="11" w:right="116" w:firstLine="651"/>
      </w:pPr>
      <w:r>
        <w:rPr>
          <w:spacing w:val="1"/>
        </w:rPr>
        <w:t>第二十九条门（急）诊危重病的确认应以临床实施抢救治</w:t>
      </w:r>
      <w:r>
        <w:rPr>
          <w:spacing w:val="5"/>
        </w:rPr>
        <w:t>疗为原则，门（急）诊值班医师应做好病历记录，经抢救后入院者，相关材料应留存在住院病历中；经抢救后未入院者，医疗机</w:t>
      </w:r>
      <w:r>
        <w:rPr>
          <w:spacing w:val="7"/>
        </w:rPr>
        <w:t>构应将相关材料单独留存备查。</w:t>
      </w:r>
    </w:p>
    <w:p w14:paraId="2417BC6F">
      <w:pPr>
        <w:pStyle w:val="2"/>
        <w:spacing w:before="186" w:line="301" w:lineRule="auto"/>
        <w:ind w:left="38" w:right="116" w:firstLine="624"/>
      </w:pPr>
      <w:r>
        <w:rPr>
          <w:spacing w:val="5"/>
        </w:rPr>
        <w:t>第三十条大学生意外伤害门诊。大学生发生无第三方责任</w:t>
      </w:r>
      <w:r>
        <w:rPr>
          <w:spacing w:val="4"/>
        </w:rPr>
        <w:t>的骨折、关节脱位、呼吸道异物意外伤害情形，其门诊医疗费用</w:t>
      </w:r>
      <w:r>
        <w:rPr>
          <w:spacing w:val="6"/>
        </w:rPr>
        <w:t>医保基金按</w:t>
      </w:r>
      <w:r>
        <w:rPr>
          <w:rFonts w:ascii="Times New Roman" w:hAnsi="Times New Roman" w:eastAsia="Times New Roman" w:cs="Times New Roman"/>
          <w:spacing w:val="6"/>
        </w:rPr>
        <w:t>80%</w:t>
      </w:r>
      <w:r>
        <w:rPr>
          <w:spacing w:val="6"/>
        </w:rPr>
        <w:t>报销，封顶线为每人每年</w:t>
      </w:r>
      <w:r>
        <w:rPr>
          <w:rFonts w:ascii="Times New Roman" w:hAnsi="Times New Roman" w:eastAsia="Times New Roman" w:cs="Times New Roman"/>
          <w:spacing w:val="6"/>
        </w:rPr>
        <w:t>1000</w:t>
      </w:r>
      <w:r>
        <w:rPr>
          <w:spacing w:val="6"/>
        </w:rPr>
        <w:t>元。</w:t>
      </w:r>
    </w:p>
    <w:p w14:paraId="09504F8C">
      <w:pPr>
        <w:spacing w:line="301" w:lineRule="auto"/>
        <w:sectPr>
          <w:footerReference r:id="rId18" w:type="default"/>
          <w:pgSz w:w="11906" w:h="16839"/>
          <w:pgMar w:top="1431" w:right="1356" w:bottom="1315" w:left="1595" w:header="0" w:footer="947" w:gutter="0"/>
          <w:cols w:space="720" w:num="1"/>
        </w:sectPr>
      </w:pPr>
    </w:p>
    <w:p w14:paraId="46EA6B09">
      <w:pPr>
        <w:spacing w:line="251" w:lineRule="auto"/>
        <w:rPr>
          <w:rFonts w:ascii="Arial"/>
          <w:sz w:val="21"/>
        </w:rPr>
      </w:pPr>
    </w:p>
    <w:p w14:paraId="37383238">
      <w:pPr>
        <w:spacing w:line="251" w:lineRule="auto"/>
        <w:rPr>
          <w:rFonts w:ascii="Arial"/>
          <w:sz w:val="21"/>
        </w:rPr>
      </w:pPr>
    </w:p>
    <w:p w14:paraId="628C9390">
      <w:pPr>
        <w:spacing w:line="252" w:lineRule="auto"/>
        <w:rPr>
          <w:rFonts w:ascii="Arial"/>
          <w:sz w:val="21"/>
        </w:rPr>
      </w:pPr>
    </w:p>
    <w:p w14:paraId="468B930F">
      <w:pPr>
        <w:spacing w:before="116" w:line="468" w:lineRule="exact"/>
        <w:ind w:left="3455"/>
        <w:rPr>
          <w:rFonts w:ascii="方正黑体_GBK" w:hAnsi="方正黑体_GBK" w:eastAsia="方正黑体_GBK" w:cs="方正黑体_GBK"/>
          <w:sz w:val="31"/>
          <w:szCs w:val="31"/>
        </w:rPr>
      </w:pPr>
      <w:r>
        <w:rPr>
          <w:rFonts w:ascii="方正黑体_GBK" w:hAnsi="方正黑体_GBK" w:eastAsia="方正黑体_GBK" w:cs="方正黑体_GBK"/>
          <w:spacing w:val="-1"/>
          <w:position w:val="3"/>
          <w:sz w:val="31"/>
          <w:szCs w:val="31"/>
        </w:rPr>
        <w:t>第八章附则</w:t>
      </w:r>
    </w:p>
    <w:p w14:paraId="39127FC8">
      <w:pPr>
        <w:spacing w:line="310" w:lineRule="auto"/>
        <w:rPr>
          <w:rFonts w:ascii="Arial"/>
          <w:sz w:val="21"/>
        </w:rPr>
      </w:pPr>
    </w:p>
    <w:p w14:paraId="01A11352">
      <w:pPr>
        <w:spacing w:line="311" w:lineRule="auto"/>
        <w:rPr>
          <w:rFonts w:ascii="Arial"/>
          <w:sz w:val="21"/>
        </w:rPr>
      </w:pPr>
    </w:p>
    <w:p w14:paraId="34A393A3">
      <w:pPr>
        <w:pStyle w:val="2"/>
        <w:spacing w:before="114" w:line="298" w:lineRule="auto"/>
        <w:ind w:firstLine="648"/>
      </w:pPr>
      <w:r>
        <w:rPr>
          <w:spacing w:val="5"/>
        </w:rPr>
        <w:t>第三十一条各区县在市级统筹前，已办理完门诊特殊疾病</w:t>
      </w:r>
      <w:r>
        <w:rPr>
          <w:spacing w:val="16"/>
        </w:rPr>
        <w:t>资格认定手续，但不属于本办法规定的门诊特殊疾病病种的人</w:t>
      </w:r>
      <w:r>
        <w:rPr>
          <w:spacing w:val="5"/>
        </w:rPr>
        <w:t>员，按照锁人头、锁病种、锁标准的原则，继续按原门诊特殊疾病待遇政策执行。</w:t>
      </w:r>
    </w:p>
    <w:p w14:paraId="4EAD882B">
      <w:pPr>
        <w:pStyle w:val="2"/>
        <w:spacing w:before="112" w:line="287" w:lineRule="auto"/>
        <w:ind w:left="11" w:right="2" w:firstLine="637"/>
      </w:pPr>
      <w:r>
        <w:rPr>
          <w:spacing w:val="2"/>
        </w:rPr>
        <w:t>第三十二条本办法从</w:t>
      </w:r>
      <w:r>
        <w:rPr>
          <w:rFonts w:ascii="Times New Roman" w:hAnsi="Times New Roman" w:eastAsia="Times New Roman" w:cs="Times New Roman"/>
          <w:spacing w:val="2"/>
        </w:rPr>
        <w:t>2025</w:t>
      </w:r>
      <w:r>
        <w:rPr>
          <w:spacing w:val="2"/>
        </w:rPr>
        <w:t>年</w:t>
      </w:r>
      <w:r>
        <w:rPr>
          <w:rFonts w:ascii="Times New Roman" w:hAnsi="Times New Roman" w:eastAsia="Times New Roman" w:cs="Times New Roman"/>
          <w:spacing w:val="2"/>
        </w:rPr>
        <w:t>6</w:t>
      </w:r>
      <w:r>
        <w:rPr>
          <w:spacing w:val="2"/>
        </w:rPr>
        <w:t>月</w:t>
      </w:r>
      <w:r>
        <w:rPr>
          <w:rFonts w:ascii="Times New Roman" w:hAnsi="Times New Roman" w:eastAsia="Times New Roman" w:cs="Times New Roman"/>
          <w:spacing w:val="2"/>
        </w:rPr>
        <w:t>1</w:t>
      </w:r>
      <w:r>
        <w:rPr>
          <w:spacing w:val="2"/>
        </w:rPr>
        <w:t>日起施</w:t>
      </w:r>
      <w:r>
        <w:rPr>
          <w:spacing w:val="1"/>
        </w:rPr>
        <w:t>行，以往规定与本</w:t>
      </w:r>
      <w:r>
        <w:rPr>
          <w:spacing w:val="2"/>
        </w:rPr>
        <w:t>办法不一致的，以本办法为准。</w:t>
      </w:r>
    </w:p>
    <w:p w14:paraId="6AACA8D7">
      <w:pPr>
        <w:pStyle w:val="2"/>
        <w:spacing w:before="154" w:line="237" w:lineRule="auto"/>
        <w:ind w:left="648"/>
      </w:pPr>
      <w:r>
        <w:rPr>
          <w:spacing w:val="9"/>
        </w:rPr>
        <w:t>第三十三条本办法由重庆市医疗保障局负责解释。</w:t>
      </w:r>
    </w:p>
    <w:p w14:paraId="02C16D91">
      <w:pPr>
        <w:spacing w:line="298" w:lineRule="auto"/>
        <w:rPr>
          <w:rFonts w:ascii="Arial"/>
          <w:sz w:val="21"/>
        </w:rPr>
      </w:pPr>
    </w:p>
    <w:p w14:paraId="6FC91BD2">
      <w:pPr>
        <w:spacing w:line="298" w:lineRule="auto"/>
        <w:rPr>
          <w:rFonts w:ascii="Arial"/>
          <w:sz w:val="21"/>
        </w:rPr>
      </w:pPr>
    </w:p>
    <w:p w14:paraId="2E7BC115">
      <w:pPr>
        <w:pStyle w:val="2"/>
        <w:spacing w:before="113" w:line="508" w:lineRule="exact"/>
        <w:ind w:left="659"/>
      </w:pPr>
      <w:r>
        <w:rPr>
          <w:spacing w:val="8"/>
          <w:position w:val="4"/>
        </w:rPr>
        <w:t>附件：重庆市基本医疗保险门诊特殊疾病病种（</w:t>
      </w:r>
      <w:r>
        <w:rPr>
          <w:rFonts w:ascii="Times New Roman" w:hAnsi="Times New Roman" w:eastAsia="Times New Roman" w:cs="Times New Roman"/>
          <w:spacing w:val="8"/>
          <w:position w:val="4"/>
        </w:rPr>
        <w:t>202</w:t>
      </w:r>
      <w:r>
        <w:rPr>
          <w:rFonts w:ascii="Times New Roman" w:hAnsi="Times New Roman" w:eastAsia="Times New Roman" w:cs="Times New Roman"/>
          <w:spacing w:val="7"/>
          <w:position w:val="4"/>
        </w:rPr>
        <w:t>5</w:t>
      </w:r>
      <w:r>
        <w:rPr>
          <w:spacing w:val="7"/>
          <w:position w:val="4"/>
        </w:rPr>
        <w:t>版）</w:t>
      </w:r>
    </w:p>
    <w:p w14:paraId="614590DD">
      <w:pPr>
        <w:spacing w:line="508" w:lineRule="exact"/>
        <w:sectPr>
          <w:footerReference r:id="rId19" w:type="default"/>
          <w:pgSz w:w="11906" w:h="16839"/>
          <w:pgMar w:top="1431" w:right="1473" w:bottom="1315" w:left="1610" w:header="0" w:footer="949" w:gutter="0"/>
          <w:cols w:space="720" w:num="1"/>
        </w:sectPr>
      </w:pPr>
    </w:p>
    <w:p w14:paraId="6D57AC86">
      <w:pPr>
        <w:spacing w:line="246" w:lineRule="auto"/>
        <w:rPr>
          <w:rFonts w:ascii="Arial"/>
          <w:sz w:val="21"/>
        </w:rPr>
      </w:pPr>
    </w:p>
    <w:p w14:paraId="3DD177B7">
      <w:pPr>
        <w:spacing w:line="247" w:lineRule="auto"/>
        <w:rPr>
          <w:rFonts w:ascii="Arial"/>
          <w:sz w:val="21"/>
        </w:rPr>
      </w:pPr>
    </w:p>
    <w:p w14:paraId="32F6A554">
      <w:pPr>
        <w:spacing w:line="247" w:lineRule="auto"/>
        <w:rPr>
          <w:rFonts w:ascii="Arial"/>
          <w:sz w:val="21"/>
        </w:rPr>
      </w:pPr>
    </w:p>
    <w:p w14:paraId="560BFE0F">
      <w:pPr>
        <w:spacing w:before="116" w:line="471" w:lineRule="exact"/>
        <w:ind w:left="23"/>
        <w:rPr>
          <w:rFonts w:ascii="方正黑体_GBK" w:hAnsi="方正黑体_GBK" w:eastAsia="方正黑体_GBK" w:cs="方正黑体_GBK"/>
          <w:sz w:val="31"/>
          <w:szCs w:val="31"/>
        </w:rPr>
      </w:pPr>
      <w:r>
        <w:rPr>
          <w:rFonts w:ascii="方正黑体_GBK" w:hAnsi="方正黑体_GBK" w:eastAsia="方正黑体_GBK" w:cs="方正黑体_GBK"/>
          <w:spacing w:val="-8"/>
          <w:position w:val="3"/>
          <w:sz w:val="31"/>
          <w:szCs w:val="31"/>
        </w:rPr>
        <w:t>附件</w:t>
      </w:r>
    </w:p>
    <w:p w14:paraId="3A3F0BCE">
      <w:pPr>
        <w:spacing w:line="473" w:lineRule="auto"/>
        <w:rPr>
          <w:rFonts w:ascii="Arial"/>
          <w:sz w:val="21"/>
        </w:rPr>
      </w:pPr>
    </w:p>
    <w:p w14:paraId="3D56D366">
      <w:pPr>
        <w:spacing w:before="160" w:line="210" w:lineRule="auto"/>
        <w:ind w:left="682"/>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重庆市基本医疗保险门诊特殊疾病病种</w:t>
      </w:r>
    </w:p>
    <w:p w14:paraId="7EE392A4">
      <w:pPr>
        <w:spacing w:before="18" w:line="672" w:lineRule="exact"/>
        <w:ind w:left="3293"/>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13"/>
          <w:position w:val="5"/>
          <w:sz w:val="43"/>
          <w:szCs w:val="43"/>
        </w:rPr>
        <w:t>（2025版）</w:t>
      </w:r>
    </w:p>
    <w:p w14:paraId="3AC07879">
      <w:pPr>
        <w:spacing w:line="271" w:lineRule="auto"/>
        <w:rPr>
          <w:rFonts w:ascii="Arial"/>
          <w:sz w:val="21"/>
        </w:rPr>
      </w:pPr>
    </w:p>
    <w:p w14:paraId="109F6B42">
      <w:pPr>
        <w:spacing w:line="271" w:lineRule="auto"/>
        <w:rPr>
          <w:rFonts w:ascii="Arial"/>
          <w:sz w:val="21"/>
        </w:rPr>
      </w:pPr>
    </w:p>
    <w:p w14:paraId="40F79439">
      <w:pPr>
        <w:pStyle w:val="2"/>
        <w:spacing w:before="114" w:line="237" w:lineRule="auto"/>
        <w:ind w:left="668"/>
      </w:pPr>
      <w:r>
        <w:t>一类病种</w:t>
      </w:r>
    </w:p>
    <w:p w14:paraId="7C963360">
      <w:pPr>
        <w:pStyle w:val="2"/>
        <w:spacing w:before="134" w:line="502" w:lineRule="exact"/>
        <w:ind w:left="669"/>
      </w:pPr>
      <w:r>
        <w:rPr>
          <w:rFonts w:ascii="Times New Roman" w:hAnsi="Times New Roman" w:eastAsia="Times New Roman" w:cs="Times New Roman"/>
          <w:spacing w:val="6"/>
          <w:position w:val="4"/>
        </w:rPr>
        <w:t>1</w:t>
      </w:r>
      <w:r>
        <w:rPr>
          <w:spacing w:val="6"/>
          <w:position w:val="4"/>
        </w:rPr>
        <w:t>．慢性肾衰竭血液净化治疗；</w:t>
      </w:r>
    </w:p>
    <w:p w14:paraId="4B7D3644">
      <w:pPr>
        <w:pStyle w:val="2"/>
        <w:spacing w:before="117" w:line="502" w:lineRule="exact"/>
        <w:ind w:left="638"/>
      </w:pPr>
      <w:r>
        <w:rPr>
          <w:rFonts w:ascii="Times New Roman" w:hAnsi="Times New Roman" w:eastAsia="Times New Roman" w:cs="Times New Roman"/>
          <w:spacing w:val="9"/>
          <w:position w:val="4"/>
        </w:rPr>
        <w:t>2</w:t>
      </w:r>
      <w:r>
        <w:rPr>
          <w:spacing w:val="9"/>
          <w:position w:val="4"/>
        </w:rPr>
        <w:t>．器官（包括组织、细胞）移植术后抗排异治疗；</w:t>
      </w:r>
    </w:p>
    <w:p w14:paraId="4F04504E">
      <w:pPr>
        <w:pStyle w:val="2"/>
        <w:spacing w:before="120" w:line="502" w:lineRule="exact"/>
        <w:ind w:left="645"/>
      </w:pPr>
      <w:r>
        <w:rPr>
          <w:rFonts w:ascii="Times New Roman" w:hAnsi="Times New Roman" w:eastAsia="Times New Roman" w:cs="Times New Roman"/>
          <w:spacing w:val="5"/>
          <w:position w:val="5"/>
        </w:rPr>
        <w:t>3</w:t>
      </w:r>
      <w:r>
        <w:rPr>
          <w:spacing w:val="5"/>
          <w:position w:val="5"/>
        </w:rPr>
        <w:t>．恶性肿瘤；</w:t>
      </w:r>
    </w:p>
    <w:p w14:paraId="138734C2">
      <w:pPr>
        <w:pStyle w:val="2"/>
        <w:spacing w:before="117" w:line="502" w:lineRule="exact"/>
        <w:ind w:left="637"/>
      </w:pPr>
      <w:r>
        <w:rPr>
          <w:rFonts w:ascii="Times New Roman" w:hAnsi="Times New Roman" w:eastAsia="Times New Roman" w:cs="Times New Roman"/>
          <w:spacing w:val="6"/>
          <w:position w:val="4"/>
        </w:rPr>
        <w:t>4</w:t>
      </w:r>
      <w:r>
        <w:rPr>
          <w:spacing w:val="6"/>
          <w:position w:val="4"/>
        </w:rPr>
        <w:t>．血友病；</w:t>
      </w:r>
    </w:p>
    <w:p w14:paraId="75DB0E92">
      <w:pPr>
        <w:pStyle w:val="2"/>
        <w:spacing w:before="157" w:line="234" w:lineRule="auto"/>
        <w:ind w:left="647"/>
      </w:pPr>
      <w:r>
        <w:rPr>
          <w:rFonts w:ascii="Times New Roman" w:hAnsi="Times New Roman" w:eastAsia="Times New Roman" w:cs="Times New Roman"/>
          <w:spacing w:val="6"/>
        </w:rPr>
        <w:t>5</w:t>
      </w:r>
      <w:r>
        <w:rPr>
          <w:spacing w:val="6"/>
        </w:rPr>
        <w:t>．再生障碍性贫血；</w:t>
      </w:r>
    </w:p>
    <w:p w14:paraId="2F5C9254">
      <w:pPr>
        <w:pStyle w:val="2"/>
        <w:spacing w:before="139" w:line="503" w:lineRule="exact"/>
        <w:ind w:left="645"/>
      </w:pPr>
      <w:r>
        <w:rPr>
          <w:rFonts w:ascii="Times New Roman" w:hAnsi="Times New Roman" w:eastAsia="Times New Roman" w:cs="Times New Roman"/>
          <w:spacing w:val="2"/>
          <w:position w:val="4"/>
        </w:rPr>
        <w:t>6</w:t>
      </w:r>
      <w:r>
        <w:rPr>
          <w:spacing w:val="2"/>
          <w:position w:val="4"/>
        </w:rPr>
        <w:t>．地中海贫血（中、重型）；</w:t>
      </w:r>
    </w:p>
    <w:p w14:paraId="29F97C98">
      <w:pPr>
        <w:pStyle w:val="2"/>
        <w:spacing w:before="157" w:line="234" w:lineRule="auto"/>
        <w:ind w:left="643"/>
      </w:pPr>
      <w:r>
        <w:rPr>
          <w:rFonts w:ascii="Times New Roman" w:hAnsi="Times New Roman" w:eastAsia="Times New Roman" w:cs="Times New Roman"/>
          <w:spacing w:val="6"/>
        </w:rPr>
        <w:t>7</w:t>
      </w:r>
      <w:r>
        <w:rPr>
          <w:spacing w:val="6"/>
        </w:rPr>
        <w:t>．扩张型心肌病；</w:t>
      </w:r>
    </w:p>
    <w:p w14:paraId="1D04868E">
      <w:pPr>
        <w:pStyle w:val="2"/>
        <w:spacing w:before="137" w:line="502" w:lineRule="exact"/>
        <w:ind w:left="651"/>
      </w:pPr>
      <w:r>
        <w:rPr>
          <w:rFonts w:ascii="Times New Roman" w:hAnsi="Times New Roman" w:eastAsia="Times New Roman" w:cs="Times New Roman"/>
          <w:spacing w:val="4"/>
          <w:position w:val="4"/>
        </w:rPr>
        <w:t>8</w:t>
      </w:r>
      <w:r>
        <w:rPr>
          <w:spacing w:val="4"/>
          <w:position w:val="4"/>
        </w:rPr>
        <w:t>．克山病；</w:t>
      </w:r>
    </w:p>
    <w:p w14:paraId="52EF41C6">
      <w:pPr>
        <w:pStyle w:val="2"/>
        <w:spacing w:before="119" w:line="503" w:lineRule="exact"/>
        <w:ind w:left="644"/>
      </w:pPr>
      <w:r>
        <w:rPr>
          <w:rFonts w:ascii="Times New Roman" w:hAnsi="Times New Roman" w:eastAsia="Times New Roman" w:cs="Times New Roman"/>
          <w:spacing w:val="6"/>
          <w:position w:val="5"/>
        </w:rPr>
        <w:t>9</w:t>
      </w:r>
      <w:r>
        <w:rPr>
          <w:spacing w:val="6"/>
          <w:position w:val="5"/>
        </w:rPr>
        <w:t>．阿尔茨海默病；</w:t>
      </w:r>
    </w:p>
    <w:p w14:paraId="404F29B0">
      <w:pPr>
        <w:pStyle w:val="2"/>
        <w:spacing w:before="117" w:line="502" w:lineRule="exact"/>
        <w:ind w:left="669"/>
      </w:pPr>
      <w:r>
        <w:rPr>
          <w:rFonts w:ascii="Times New Roman" w:hAnsi="Times New Roman" w:eastAsia="Times New Roman" w:cs="Times New Roman"/>
          <w:spacing w:val="5"/>
          <w:position w:val="4"/>
        </w:rPr>
        <w:t>10</w:t>
      </w:r>
      <w:r>
        <w:rPr>
          <w:spacing w:val="5"/>
          <w:position w:val="4"/>
        </w:rPr>
        <w:t>．艾滋病机会性感染；</w:t>
      </w:r>
    </w:p>
    <w:p w14:paraId="3E780FC0">
      <w:pPr>
        <w:pStyle w:val="2"/>
        <w:spacing w:before="117" w:line="500" w:lineRule="exact"/>
        <w:ind w:left="669"/>
      </w:pPr>
      <w:r>
        <w:rPr>
          <w:rFonts w:ascii="Times New Roman" w:hAnsi="Times New Roman" w:eastAsia="Times New Roman" w:cs="Times New Roman"/>
          <w:spacing w:val="3"/>
          <w:position w:val="4"/>
        </w:rPr>
        <w:t>11</w:t>
      </w:r>
      <w:r>
        <w:rPr>
          <w:spacing w:val="3"/>
          <w:position w:val="4"/>
        </w:rPr>
        <w:t>．耐药结核病；</w:t>
      </w:r>
    </w:p>
    <w:p w14:paraId="71806F2E">
      <w:pPr>
        <w:pStyle w:val="2"/>
        <w:spacing w:before="121" w:line="503" w:lineRule="exact"/>
        <w:jc w:val="right"/>
      </w:pPr>
      <w:r>
        <w:rPr>
          <w:rFonts w:ascii="Times New Roman" w:hAnsi="Times New Roman" w:eastAsia="Times New Roman" w:cs="Times New Roman"/>
          <w:spacing w:val="2"/>
          <w:position w:val="4"/>
        </w:rPr>
        <w:t>12</w:t>
      </w:r>
      <w:r>
        <w:rPr>
          <w:spacing w:val="2"/>
          <w:position w:val="4"/>
        </w:rPr>
        <w:t>．高苯丙氨酸血症（苯丙酮尿症、四氢生物蝶呤缺乏症</w:t>
      </w:r>
      <w:r>
        <w:rPr>
          <w:spacing w:val="-77"/>
          <w:position w:val="4"/>
        </w:rPr>
        <w:t>）；</w:t>
      </w:r>
    </w:p>
    <w:p w14:paraId="24F192D8">
      <w:pPr>
        <w:pStyle w:val="2"/>
        <w:spacing w:before="117" w:line="500" w:lineRule="exact"/>
        <w:ind w:left="669"/>
      </w:pPr>
      <w:r>
        <w:rPr>
          <w:rFonts w:ascii="Times New Roman" w:hAnsi="Times New Roman" w:eastAsia="Times New Roman" w:cs="Times New Roman"/>
          <w:spacing w:val="4"/>
          <w:position w:val="5"/>
        </w:rPr>
        <w:t>13</w:t>
      </w:r>
      <w:r>
        <w:rPr>
          <w:spacing w:val="4"/>
          <w:position w:val="5"/>
        </w:rPr>
        <w:t>．普拉德</w:t>
      </w:r>
      <w:r>
        <w:rPr>
          <w:rFonts w:ascii="Times New Roman" w:hAnsi="Times New Roman" w:eastAsia="Times New Roman" w:cs="Times New Roman"/>
          <w:spacing w:val="4"/>
          <w:position w:val="5"/>
        </w:rPr>
        <w:t>-</w:t>
      </w:r>
      <w:r>
        <w:rPr>
          <w:spacing w:val="4"/>
          <w:position w:val="5"/>
        </w:rPr>
        <w:t>威利综合征；</w:t>
      </w:r>
    </w:p>
    <w:p w14:paraId="58C1078D">
      <w:pPr>
        <w:pStyle w:val="2"/>
        <w:spacing w:before="119" w:line="509" w:lineRule="exact"/>
        <w:ind w:left="669"/>
      </w:pPr>
      <w:r>
        <w:rPr>
          <w:rFonts w:ascii="Times New Roman" w:hAnsi="Times New Roman" w:eastAsia="Times New Roman" w:cs="Times New Roman"/>
          <w:spacing w:val="5"/>
          <w:position w:val="4"/>
        </w:rPr>
        <w:t>14</w:t>
      </w:r>
      <w:r>
        <w:rPr>
          <w:spacing w:val="5"/>
          <w:position w:val="4"/>
        </w:rPr>
        <w:t>．原发性生长激素缺乏症。</w:t>
      </w:r>
    </w:p>
    <w:p w14:paraId="7ABE3ED2">
      <w:pPr>
        <w:spacing w:line="509" w:lineRule="exact"/>
        <w:sectPr>
          <w:footerReference r:id="rId20" w:type="default"/>
          <w:pgSz w:w="11906" w:h="16839"/>
          <w:pgMar w:top="1431" w:right="1371" w:bottom="1315" w:left="1595" w:header="0" w:footer="949" w:gutter="0"/>
          <w:cols w:space="720" w:num="1"/>
        </w:sectPr>
      </w:pPr>
    </w:p>
    <w:p w14:paraId="1CC182A7">
      <w:pPr>
        <w:spacing w:line="357" w:lineRule="auto"/>
        <w:rPr>
          <w:rFonts w:ascii="Arial"/>
          <w:sz w:val="21"/>
        </w:rPr>
      </w:pPr>
    </w:p>
    <w:p w14:paraId="51573D98">
      <w:pPr>
        <w:spacing w:line="358" w:lineRule="auto"/>
        <w:rPr>
          <w:rFonts w:ascii="Arial"/>
          <w:sz w:val="21"/>
        </w:rPr>
      </w:pPr>
    </w:p>
    <w:p w14:paraId="0CA74025">
      <w:pPr>
        <w:pStyle w:val="2"/>
        <w:spacing w:before="113" w:line="237" w:lineRule="auto"/>
        <w:ind w:left="653"/>
      </w:pPr>
      <w:r>
        <w:rPr>
          <w:spacing w:val="1"/>
        </w:rPr>
        <w:t>二类病种</w:t>
      </w:r>
    </w:p>
    <w:p w14:paraId="21344C3C">
      <w:pPr>
        <w:pStyle w:val="2"/>
        <w:spacing w:before="73" w:line="502" w:lineRule="exact"/>
        <w:ind w:left="659"/>
      </w:pPr>
      <w:r>
        <w:rPr>
          <w:rFonts w:ascii="Times New Roman" w:hAnsi="Times New Roman" w:eastAsia="Times New Roman" w:cs="Times New Roman"/>
          <w:spacing w:val="4"/>
          <w:position w:val="4"/>
        </w:rPr>
        <w:t>1</w:t>
      </w:r>
      <w:r>
        <w:rPr>
          <w:spacing w:val="4"/>
          <w:position w:val="4"/>
        </w:rPr>
        <w:t>．强直性脊柱炎；</w:t>
      </w:r>
    </w:p>
    <w:p w14:paraId="55FFD4F0">
      <w:pPr>
        <w:pStyle w:val="2"/>
        <w:spacing w:before="56" w:line="503" w:lineRule="exact"/>
        <w:ind w:left="628"/>
      </w:pPr>
      <w:r>
        <w:rPr>
          <w:rFonts w:ascii="Times New Roman" w:hAnsi="Times New Roman" w:eastAsia="Times New Roman" w:cs="Times New Roman"/>
          <w:spacing w:val="8"/>
          <w:position w:val="4"/>
        </w:rPr>
        <w:t>2</w:t>
      </w:r>
      <w:r>
        <w:rPr>
          <w:spacing w:val="8"/>
          <w:position w:val="4"/>
        </w:rPr>
        <w:t>．原发性肾病综合征；</w:t>
      </w:r>
    </w:p>
    <w:p w14:paraId="3CC1595A">
      <w:pPr>
        <w:pStyle w:val="2"/>
        <w:spacing w:before="59" w:line="502" w:lineRule="exact"/>
        <w:ind w:left="635"/>
      </w:pPr>
      <w:r>
        <w:rPr>
          <w:rFonts w:ascii="Times New Roman" w:hAnsi="Times New Roman" w:eastAsia="Times New Roman" w:cs="Times New Roman"/>
          <w:spacing w:val="6"/>
          <w:position w:val="4"/>
        </w:rPr>
        <w:t>3</w:t>
      </w:r>
      <w:r>
        <w:rPr>
          <w:spacing w:val="6"/>
          <w:position w:val="4"/>
        </w:rPr>
        <w:t>．肝豆状核变性；</w:t>
      </w:r>
    </w:p>
    <w:p w14:paraId="342591C9">
      <w:pPr>
        <w:pStyle w:val="2"/>
        <w:spacing w:before="57" w:line="502" w:lineRule="exact"/>
        <w:ind w:left="627"/>
      </w:pPr>
      <w:r>
        <w:rPr>
          <w:rFonts w:ascii="Times New Roman" w:hAnsi="Times New Roman" w:eastAsia="Times New Roman" w:cs="Times New Roman"/>
          <w:spacing w:val="7"/>
          <w:position w:val="4"/>
        </w:rPr>
        <w:t>4</w:t>
      </w:r>
      <w:r>
        <w:rPr>
          <w:spacing w:val="7"/>
          <w:position w:val="4"/>
        </w:rPr>
        <w:t>．重度骨质疏松；</w:t>
      </w:r>
    </w:p>
    <w:p w14:paraId="6C66FD34">
      <w:pPr>
        <w:pStyle w:val="2"/>
        <w:spacing w:before="97" w:line="234" w:lineRule="auto"/>
        <w:ind w:left="637"/>
      </w:pPr>
      <w:r>
        <w:rPr>
          <w:rFonts w:ascii="Times New Roman" w:hAnsi="Times New Roman" w:eastAsia="Times New Roman" w:cs="Times New Roman"/>
          <w:spacing w:val="4"/>
        </w:rPr>
        <w:t>5</w:t>
      </w:r>
      <w:r>
        <w:rPr>
          <w:spacing w:val="4"/>
        </w:rPr>
        <w:t>．高血压；</w:t>
      </w:r>
    </w:p>
    <w:p w14:paraId="50325C56">
      <w:pPr>
        <w:pStyle w:val="2"/>
        <w:spacing w:before="80" w:line="502" w:lineRule="exact"/>
        <w:ind w:left="635"/>
      </w:pPr>
      <w:r>
        <w:rPr>
          <w:rFonts w:ascii="Times New Roman" w:hAnsi="Times New Roman" w:eastAsia="Times New Roman" w:cs="Times New Roman"/>
          <w:spacing w:val="5"/>
          <w:position w:val="5"/>
        </w:rPr>
        <w:t>6</w:t>
      </w:r>
      <w:r>
        <w:rPr>
          <w:spacing w:val="5"/>
          <w:position w:val="5"/>
        </w:rPr>
        <w:t>．糖尿病；</w:t>
      </w:r>
    </w:p>
    <w:p w14:paraId="577B0333">
      <w:pPr>
        <w:pStyle w:val="2"/>
        <w:spacing w:before="97" w:line="234" w:lineRule="auto"/>
        <w:ind w:left="633"/>
      </w:pPr>
      <w:r>
        <w:rPr>
          <w:rFonts w:ascii="Times New Roman" w:hAnsi="Times New Roman" w:eastAsia="Times New Roman" w:cs="Times New Roman"/>
          <w:spacing w:val="-10"/>
        </w:rPr>
        <w:t>7</w:t>
      </w:r>
      <w:r>
        <w:rPr>
          <w:spacing w:val="-10"/>
        </w:rPr>
        <w:t>．甲亢；</w:t>
      </w:r>
    </w:p>
    <w:p w14:paraId="62D41D3D">
      <w:pPr>
        <w:pStyle w:val="2"/>
        <w:spacing w:before="77" w:line="502" w:lineRule="exact"/>
        <w:ind w:left="641"/>
      </w:pPr>
      <w:r>
        <w:rPr>
          <w:rFonts w:ascii="Times New Roman" w:hAnsi="Times New Roman" w:eastAsia="Times New Roman" w:cs="Times New Roman"/>
          <w:spacing w:val="4"/>
          <w:position w:val="5"/>
        </w:rPr>
        <w:t>8</w:t>
      </w:r>
      <w:r>
        <w:rPr>
          <w:spacing w:val="4"/>
          <w:position w:val="5"/>
        </w:rPr>
        <w:t>．冠心病；</w:t>
      </w:r>
    </w:p>
    <w:p w14:paraId="29226D4C">
      <w:pPr>
        <w:pStyle w:val="2"/>
        <w:spacing w:before="60" w:line="502" w:lineRule="exact"/>
        <w:ind w:left="634"/>
      </w:pPr>
      <w:r>
        <w:rPr>
          <w:rFonts w:ascii="Times New Roman" w:hAnsi="Times New Roman" w:eastAsia="Times New Roman" w:cs="Times New Roman"/>
          <w:spacing w:val="7"/>
          <w:position w:val="4"/>
        </w:rPr>
        <w:t>9</w:t>
      </w:r>
      <w:r>
        <w:rPr>
          <w:spacing w:val="7"/>
          <w:position w:val="4"/>
        </w:rPr>
        <w:t>．风湿性心瓣膜病；</w:t>
      </w:r>
    </w:p>
    <w:p w14:paraId="7E5EA485">
      <w:pPr>
        <w:pStyle w:val="2"/>
        <w:spacing w:before="57" w:line="502" w:lineRule="exact"/>
        <w:ind w:left="659"/>
      </w:pPr>
      <w:r>
        <w:rPr>
          <w:rFonts w:ascii="Times New Roman" w:hAnsi="Times New Roman" w:eastAsia="Times New Roman" w:cs="Times New Roman"/>
          <w:spacing w:val="1"/>
          <w:position w:val="5"/>
        </w:rPr>
        <w:t>10</w:t>
      </w:r>
      <w:r>
        <w:rPr>
          <w:spacing w:val="1"/>
          <w:position w:val="5"/>
        </w:rPr>
        <w:t>．肝硬化；</w:t>
      </w:r>
    </w:p>
    <w:p w14:paraId="2A39CD76">
      <w:pPr>
        <w:pStyle w:val="2"/>
        <w:spacing w:before="55" w:line="276" w:lineRule="auto"/>
        <w:ind w:firstLine="659"/>
      </w:pPr>
      <w:r>
        <w:rPr>
          <w:rFonts w:ascii="Times New Roman" w:hAnsi="Times New Roman" w:eastAsia="Times New Roman" w:cs="Times New Roman"/>
          <w:spacing w:val="4"/>
        </w:rPr>
        <w:t>11</w:t>
      </w:r>
      <w:r>
        <w:rPr>
          <w:spacing w:val="4"/>
        </w:rPr>
        <w:t>．脑卒中后遗症（脑梗死、脑出血、蛛网膜下腔出血后遗</w:t>
      </w:r>
      <w:r>
        <w:rPr>
          <w:spacing w:val="7"/>
        </w:rPr>
        <w:t>症、血管性痴呆</w:t>
      </w:r>
      <w:r>
        <w:t>）；</w:t>
      </w:r>
    </w:p>
    <w:p w14:paraId="47D8679A">
      <w:pPr>
        <w:pStyle w:val="2"/>
        <w:spacing w:before="80" w:line="502" w:lineRule="exact"/>
        <w:ind w:left="659"/>
      </w:pPr>
      <w:r>
        <w:rPr>
          <w:rFonts w:ascii="Times New Roman" w:hAnsi="Times New Roman" w:eastAsia="Times New Roman" w:cs="Times New Roman"/>
          <w:spacing w:val="2"/>
          <w:position w:val="4"/>
        </w:rPr>
        <w:t>12</w:t>
      </w:r>
      <w:r>
        <w:rPr>
          <w:spacing w:val="2"/>
          <w:position w:val="4"/>
        </w:rPr>
        <w:t>．帕金森病；</w:t>
      </w:r>
    </w:p>
    <w:p w14:paraId="61A67FEF">
      <w:pPr>
        <w:pStyle w:val="2"/>
        <w:spacing w:before="57" w:line="503" w:lineRule="exact"/>
        <w:ind w:left="659"/>
      </w:pPr>
      <w:r>
        <w:rPr>
          <w:rFonts w:ascii="Times New Roman" w:hAnsi="Times New Roman" w:eastAsia="Times New Roman" w:cs="Times New Roman"/>
          <w:spacing w:val="5"/>
          <w:position w:val="4"/>
        </w:rPr>
        <w:t>13</w:t>
      </w:r>
      <w:r>
        <w:rPr>
          <w:spacing w:val="5"/>
          <w:position w:val="4"/>
        </w:rPr>
        <w:t>．肌萎缩侧索硬化症；</w:t>
      </w:r>
    </w:p>
    <w:p w14:paraId="34878E33">
      <w:pPr>
        <w:pStyle w:val="2"/>
        <w:spacing w:before="59" w:line="502" w:lineRule="exact"/>
        <w:ind w:left="659"/>
      </w:pPr>
      <w:r>
        <w:rPr>
          <w:rFonts w:ascii="Times New Roman" w:hAnsi="Times New Roman" w:eastAsia="Times New Roman" w:cs="Times New Roman"/>
          <w:spacing w:val="3"/>
          <w:position w:val="4"/>
        </w:rPr>
        <w:t>14</w:t>
      </w:r>
      <w:r>
        <w:rPr>
          <w:spacing w:val="3"/>
          <w:position w:val="4"/>
        </w:rPr>
        <w:t>．支气管哮喘；</w:t>
      </w:r>
    </w:p>
    <w:p w14:paraId="0E698CCB">
      <w:pPr>
        <w:pStyle w:val="2"/>
        <w:spacing w:before="57" w:line="502" w:lineRule="exact"/>
        <w:ind w:left="659"/>
      </w:pPr>
      <w:r>
        <w:rPr>
          <w:rFonts w:ascii="Times New Roman" w:hAnsi="Times New Roman" w:eastAsia="Times New Roman" w:cs="Times New Roman"/>
          <w:spacing w:val="5"/>
          <w:position w:val="5"/>
        </w:rPr>
        <w:t>15</w:t>
      </w:r>
      <w:r>
        <w:rPr>
          <w:spacing w:val="5"/>
          <w:position w:val="5"/>
        </w:rPr>
        <w:t>．慢性阻塞性肺疾病；</w:t>
      </w:r>
    </w:p>
    <w:p w14:paraId="4A54684F">
      <w:pPr>
        <w:pStyle w:val="2"/>
        <w:spacing w:before="57" w:line="503" w:lineRule="exact"/>
        <w:ind w:left="659"/>
      </w:pPr>
      <w:r>
        <w:rPr>
          <w:rFonts w:ascii="Times New Roman" w:hAnsi="Times New Roman" w:eastAsia="Times New Roman" w:cs="Times New Roman"/>
          <w:spacing w:val="5"/>
          <w:position w:val="5"/>
        </w:rPr>
        <w:t>16</w:t>
      </w:r>
      <w:r>
        <w:rPr>
          <w:spacing w:val="5"/>
          <w:position w:val="5"/>
        </w:rPr>
        <w:t>．慢性肺源性心脏病；</w:t>
      </w:r>
    </w:p>
    <w:p w14:paraId="0FE6D3D2">
      <w:pPr>
        <w:pStyle w:val="2"/>
        <w:spacing w:before="59" w:line="502" w:lineRule="exact"/>
        <w:ind w:left="659"/>
      </w:pPr>
      <w:r>
        <w:rPr>
          <w:rFonts w:ascii="Times New Roman" w:hAnsi="Times New Roman" w:eastAsia="Times New Roman" w:cs="Times New Roman"/>
          <w:spacing w:val="1"/>
          <w:position w:val="4"/>
        </w:rPr>
        <w:t>17</w:t>
      </w:r>
      <w:r>
        <w:rPr>
          <w:spacing w:val="1"/>
          <w:position w:val="4"/>
        </w:rPr>
        <w:t>．结核病；</w:t>
      </w:r>
    </w:p>
    <w:p w14:paraId="64827975">
      <w:pPr>
        <w:pStyle w:val="2"/>
        <w:spacing w:before="57" w:line="502" w:lineRule="exact"/>
        <w:ind w:left="659"/>
      </w:pPr>
      <w:r>
        <w:rPr>
          <w:rFonts w:ascii="Times New Roman" w:hAnsi="Times New Roman" w:eastAsia="Times New Roman" w:cs="Times New Roman"/>
          <w:spacing w:val="5"/>
          <w:position w:val="4"/>
        </w:rPr>
        <w:t>18</w:t>
      </w:r>
      <w:r>
        <w:rPr>
          <w:spacing w:val="5"/>
          <w:position w:val="4"/>
        </w:rPr>
        <w:t>．慢性乙型肝炎病毒感染；</w:t>
      </w:r>
    </w:p>
    <w:p w14:paraId="49C7BE3B">
      <w:pPr>
        <w:pStyle w:val="2"/>
        <w:spacing w:before="57" w:line="503" w:lineRule="exact"/>
        <w:ind w:left="659"/>
      </w:pPr>
      <w:r>
        <w:rPr>
          <w:rFonts w:ascii="Times New Roman" w:hAnsi="Times New Roman" w:eastAsia="Times New Roman" w:cs="Times New Roman"/>
          <w:spacing w:val="2"/>
          <w:position w:val="4"/>
        </w:rPr>
        <w:t>19</w:t>
      </w:r>
      <w:r>
        <w:rPr>
          <w:spacing w:val="2"/>
          <w:position w:val="4"/>
        </w:rPr>
        <w:t>．丙型肝炎；</w:t>
      </w:r>
    </w:p>
    <w:p w14:paraId="1A616CA9">
      <w:pPr>
        <w:pStyle w:val="2"/>
        <w:spacing w:before="59" w:line="502" w:lineRule="exact"/>
        <w:ind w:left="628"/>
      </w:pPr>
      <w:r>
        <w:rPr>
          <w:rFonts w:ascii="Times New Roman" w:hAnsi="Times New Roman" w:eastAsia="Times New Roman" w:cs="Times New Roman"/>
          <w:spacing w:val="7"/>
          <w:position w:val="4"/>
        </w:rPr>
        <w:t>20</w:t>
      </w:r>
      <w:r>
        <w:rPr>
          <w:spacing w:val="7"/>
          <w:position w:val="4"/>
        </w:rPr>
        <w:t>．真性红细胞增多症；</w:t>
      </w:r>
    </w:p>
    <w:p w14:paraId="115A9175">
      <w:pPr>
        <w:spacing w:line="502" w:lineRule="exact"/>
        <w:sectPr>
          <w:footerReference r:id="rId21" w:type="default"/>
          <w:pgSz w:w="11906" w:h="16839"/>
          <w:pgMar w:top="1431" w:right="1473" w:bottom="1315" w:left="1605" w:header="0" w:footer="949" w:gutter="0"/>
          <w:cols w:space="720" w:num="1"/>
        </w:sectPr>
      </w:pPr>
    </w:p>
    <w:p w14:paraId="42B6B5DD">
      <w:pPr>
        <w:spacing w:line="338" w:lineRule="auto"/>
        <w:rPr>
          <w:rFonts w:ascii="Arial"/>
          <w:sz w:val="21"/>
        </w:rPr>
      </w:pPr>
    </w:p>
    <w:p w14:paraId="5101741D">
      <w:pPr>
        <w:spacing w:line="339" w:lineRule="auto"/>
        <w:rPr>
          <w:rFonts w:ascii="Arial"/>
          <w:sz w:val="21"/>
        </w:rPr>
      </w:pPr>
    </w:p>
    <w:p w14:paraId="4F8FC940">
      <w:pPr>
        <w:pStyle w:val="2"/>
        <w:spacing w:before="114" w:line="499" w:lineRule="exact"/>
        <w:ind w:left="646"/>
      </w:pPr>
      <w:r>
        <w:rPr>
          <w:rFonts w:ascii="Times New Roman" w:hAnsi="Times New Roman" w:eastAsia="Times New Roman" w:cs="Times New Roman"/>
          <w:spacing w:val="7"/>
          <w:position w:val="4"/>
        </w:rPr>
        <w:t>21</w:t>
      </w:r>
      <w:r>
        <w:rPr>
          <w:spacing w:val="7"/>
          <w:position w:val="4"/>
        </w:rPr>
        <w:t>．原发性血小板增多症；</w:t>
      </w:r>
    </w:p>
    <w:p w14:paraId="60451D67">
      <w:pPr>
        <w:pStyle w:val="2"/>
        <w:spacing w:before="59" w:line="502" w:lineRule="exact"/>
        <w:ind w:left="646"/>
      </w:pPr>
      <w:r>
        <w:rPr>
          <w:rFonts w:ascii="Times New Roman" w:hAnsi="Times New Roman" w:eastAsia="Times New Roman" w:cs="Times New Roman"/>
          <w:spacing w:val="7"/>
          <w:position w:val="4"/>
        </w:rPr>
        <w:t>22</w:t>
      </w:r>
      <w:r>
        <w:rPr>
          <w:spacing w:val="7"/>
          <w:position w:val="4"/>
        </w:rPr>
        <w:t>．原发性骨髓纤维化症；</w:t>
      </w:r>
    </w:p>
    <w:p w14:paraId="253276A2">
      <w:pPr>
        <w:pStyle w:val="2"/>
        <w:spacing w:before="56" w:line="503" w:lineRule="exact"/>
        <w:ind w:left="646"/>
      </w:pPr>
      <w:r>
        <w:rPr>
          <w:rFonts w:ascii="Times New Roman" w:hAnsi="Times New Roman" w:eastAsia="Times New Roman" w:cs="Times New Roman"/>
          <w:spacing w:val="7"/>
          <w:position w:val="5"/>
        </w:rPr>
        <w:t>23</w:t>
      </w:r>
      <w:r>
        <w:rPr>
          <w:spacing w:val="7"/>
          <w:position w:val="5"/>
        </w:rPr>
        <w:t>．系统性红斑狼疮；</w:t>
      </w:r>
    </w:p>
    <w:p w14:paraId="7F52AA82">
      <w:pPr>
        <w:pStyle w:val="2"/>
        <w:spacing w:before="59" w:line="502" w:lineRule="exact"/>
        <w:ind w:left="646"/>
      </w:pPr>
      <w:r>
        <w:rPr>
          <w:rFonts w:ascii="Times New Roman" w:hAnsi="Times New Roman" w:eastAsia="Times New Roman" w:cs="Times New Roman"/>
          <w:spacing w:val="7"/>
          <w:position w:val="5"/>
        </w:rPr>
        <w:t>24</w:t>
      </w:r>
      <w:r>
        <w:rPr>
          <w:spacing w:val="7"/>
          <w:position w:val="5"/>
        </w:rPr>
        <w:t>．系统性硬化症；</w:t>
      </w:r>
    </w:p>
    <w:p w14:paraId="00EA5125">
      <w:pPr>
        <w:pStyle w:val="2"/>
        <w:spacing w:before="57" w:line="502" w:lineRule="exact"/>
        <w:ind w:left="646"/>
      </w:pPr>
      <w:r>
        <w:rPr>
          <w:rFonts w:ascii="Times New Roman" w:hAnsi="Times New Roman" w:eastAsia="Times New Roman" w:cs="Times New Roman"/>
          <w:spacing w:val="7"/>
          <w:position w:val="4"/>
        </w:rPr>
        <w:t>25</w:t>
      </w:r>
      <w:r>
        <w:rPr>
          <w:spacing w:val="7"/>
          <w:position w:val="4"/>
        </w:rPr>
        <w:t>．原发性干燥综合征；</w:t>
      </w:r>
    </w:p>
    <w:p w14:paraId="35873F80">
      <w:pPr>
        <w:pStyle w:val="2"/>
        <w:spacing w:before="57" w:line="502" w:lineRule="exact"/>
        <w:ind w:left="646"/>
      </w:pPr>
      <w:r>
        <w:rPr>
          <w:rFonts w:ascii="Times New Roman" w:hAnsi="Times New Roman" w:eastAsia="Times New Roman" w:cs="Times New Roman"/>
          <w:spacing w:val="6"/>
          <w:position w:val="4"/>
        </w:rPr>
        <w:t>26</w:t>
      </w:r>
      <w:r>
        <w:rPr>
          <w:spacing w:val="6"/>
          <w:position w:val="4"/>
        </w:rPr>
        <w:t>．重症肌无力；</w:t>
      </w:r>
    </w:p>
    <w:p w14:paraId="58943499">
      <w:pPr>
        <w:pStyle w:val="2"/>
        <w:spacing w:before="60" w:line="502" w:lineRule="exact"/>
        <w:ind w:left="646"/>
      </w:pPr>
      <w:r>
        <w:rPr>
          <w:rFonts w:ascii="Times New Roman" w:hAnsi="Times New Roman" w:eastAsia="Times New Roman" w:cs="Times New Roman"/>
          <w:spacing w:val="6"/>
          <w:position w:val="5"/>
        </w:rPr>
        <w:t>27</w:t>
      </w:r>
      <w:r>
        <w:rPr>
          <w:spacing w:val="6"/>
          <w:position w:val="5"/>
        </w:rPr>
        <w:t>．慢性肾脏病；</w:t>
      </w:r>
    </w:p>
    <w:p w14:paraId="6CB36984">
      <w:pPr>
        <w:pStyle w:val="2"/>
        <w:spacing w:before="57" w:line="502" w:lineRule="exact"/>
        <w:ind w:left="646"/>
      </w:pPr>
      <w:r>
        <w:rPr>
          <w:rFonts w:ascii="Times New Roman" w:hAnsi="Times New Roman" w:eastAsia="Times New Roman" w:cs="Times New Roman"/>
          <w:spacing w:val="8"/>
          <w:position w:val="4"/>
        </w:rPr>
        <w:t>28</w:t>
      </w:r>
      <w:r>
        <w:rPr>
          <w:spacing w:val="8"/>
          <w:position w:val="4"/>
        </w:rPr>
        <w:t>．类风湿性关节炎、幼年特发性关节炎；</w:t>
      </w:r>
    </w:p>
    <w:p w14:paraId="4D1B5F68">
      <w:pPr>
        <w:pStyle w:val="2"/>
        <w:spacing w:before="57" w:line="496" w:lineRule="exact"/>
        <w:ind w:left="646"/>
      </w:pPr>
      <w:r>
        <w:rPr>
          <w:rFonts w:ascii="Times New Roman" w:hAnsi="Times New Roman" w:eastAsia="Times New Roman" w:cs="Times New Roman"/>
          <w:spacing w:val="1"/>
          <w:position w:val="4"/>
        </w:rPr>
        <w:t>29</w:t>
      </w:r>
      <w:r>
        <w:rPr>
          <w:spacing w:val="1"/>
          <w:position w:val="4"/>
        </w:rPr>
        <w:t>．良性前列腺增生症；</w:t>
      </w:r>
    </w:p>
    <w:p w14:paraId="6B233239">
      <w:pPr>
        <w:pStyle w:val="2"/>
        <w:spacing w:before="66" w:line="502" w:lineRule="exact"/>
        <w:ind w:left="653"/>
      </w:pPr>
      <w:r>
        <w:rPr>
          <w:rFonts w:ascii="Times New Roman" w:hAnsi="Times New Roman" w:eastAsia="Times New Roman" w:cs="Times New Roman"/>
          <w:spacing w:val="6"/>
          <w:position w:val="4"/>
        </w:rPr>
        <w:t>30</w:t>
      </w:r>
      <w:r>
        <w:rPr>
          <w:spacing w:val="6"/>
          <w:position w:val="4"/>
        </w:rPr>
        <w:t>．原发性青光眼；</w:t>
      </w:r>
    </w:p>
    <w:p w14:paraId="3CAA9ED2">
      <w:pPr>
        <w:pStyle w:val="2"/>
        <w:spacing w:before="57" w:line="502" w:lineRule="exact"/>
        <w:ind w:left="653"/>
      </w:pPr>
      <w:r>
        <w:rPr>
          <w:rFonts w:ascii="Times New Roman" w:hAnsi="Times New Roman" w:eastAsia="Times New Roman" w:cs="Times New Roman"/>
          <w:spacing w:val="6"/>
          <w:position w:val="4"/>
        </w:rPr>
        <w:t>31</w:t>
      </w:r>
      <w:r>
        <w:rPr>
          <w:spacing w:val="6"/>
          <w:position w:val="4"/>
        </w:rPr>
        <w:t>．精神分裂症；</w:t>
      </w:r>
    </w:p>
    <w:p w14:paraId="590DE78E">
      <w:pPr>
        <w:pStyle w:val="2"/>
        <w:spacing w:before="57" w:line="502" w:lineRule="exact"/>
        <w:ind w:left="653"/>
      </w:pPr>
      <w:r>
        <w:rPr>
          <w:rFonts w:ascii="Times New Roman" w:hAnsi="Times New Roman" w:eastAsia="Times New Roman" w:cs="Times New Roman"/>
          <w:spacing w:val="5"/>
          <w:position w:val="4"/>
        </w:rPr>
        <w:t>32</w:t>
      </w:r>
      <w:r>
        <w:rPr>
          <w:spacing w:val="5"/>
          <w:position w:val="4"/>
        </w:rPr>
        <w:t>．心境障碍；</w:t>
      </w:r>
    </w:p>
    <w:p w14:paraId="086BB716">
      <w:pPr>
        <w:pStyle w:val="2"/>
        <w:spacing w:before="60" w:line="502" w:lineRule="exact"/>
        <w:ind w:left="653"/>
      </w:pPr>
      <w:r>
        <w:rPr>
          <w:rFonts w:ascii="Times New Roman" w:hAnsi="Times New Roman" w:eastAsia="Times New Roman" w:cs="Times New Roman"/>
          <w:spacing w:val="6"/>
          <w:position w:val="4"/>
        </w:rPr>
        <w:t>33</w:t>
      </w:r>
      <w:r>
        <w:rPr>
          <w:spacing w:val="6"/>
          <w:position w:val="4"/>
        </w:rPr>
        <w:t>．偏执性精神障碍；</w:t>
      </w:r>
    </w:p>
    <w:p w14:paraId="542744C9">
      <w:pPr>
        <w:pStyle w:val="2"/>
        <w:spacing w:before="57" w:line="502" w:lineRule="exact"/>
        <w:ind w:left="653"/>
      </w:pPr>
      <w:r>
        <w:rPr>
          <w:rFonts w:ascii="Times New Roman" w:hAnsi="Times New Roman" w:eastAsia="Times New Roman" w:cs="Times New Roman"/>
          <w:spacing w:val="6"/>
          <w:position w:val="4"/>
        </w:rPr>
        <w:t>34</w:t>
      </w:r>
      <w:r>
        <w:rPr>
          <w:spacing w:val="6"/>
          <w:position w:val="4"/>
        </w:rPr>
        <w:t>．分裂情感性障碍；</w:t>
      </w:r>
    </w:p>
    <w:p w14:paraId="1933F9EB">
      <w:pPr>
        <w:pStyle w:val="2"/>
        <w:spacing w:before="57" w:line="502" w:lineRule="exact"/>
        <w:ind w:left="653"/>
      </w:pPr>
      <w:r>
        <w:rPr>
          <w:rFonts w:ascii="Times New Roman" w:hAnsi="Times New Roman" w:eastAsia="Times New Roman" w:cs="Times New Roman"/>
          <w:spacing w:val="7"/>
          <w:position w:val="4"/>
        </w:rPr>
        <w:t>35</w:t>
      </w:r>
      <w:r>
        <w:rPr>
          <w:spacing w:val="7"/>
          <w:position w:val="4"/>
        </w:rPr>
        <w:t>．癫痫所致精神障碍；</w:t>
      </w:r>
    </w:p>
    <w:p w14:paraId="7A4D0A5E">
      <w:pPr>
        <w:pStyle w:val="2"/>
        <w:spacing w:before="60" w:line="502" w:lineRule="exact"/>
        <w:ind w:left="653"/>
      </w:pPr>
      <w:r>
        <w:rPr>
          <w:rFonts w:ascii="Times New Roman" w:hAnsi="Times New Roman" w:eastAsia="Times New Roman" w:cs="Times New Roman"/>
          <w:spacing w:val="7"/>
          <w:position w:val="4"/>
        </w:rPr>
        <w:t>36</w:t>
      </w:r>
      <w:r>
        <w:rPr>
          <w:spacing w:val="7"/>
          <w:position w:val="4"/>
        </w:rPr>
        <w:t>．精神发育迟滞伴发精神障碍；</w:t>
      </w:r>
    </w:p>
    <w:p w14:paraId="74330542">
      <w:pPr>
        <w:pStyle w:val="2"/>
        <w:spacing w:before="57" w:line="502" w:lineRule="exact"/>
        <w:ind w:left="653"/>
      </w:pPr>
      <w:r>
        <w:rPr>
          <w:rFonts w:ascii="Times New Roman" w:hAnsi="Times New Roman" w:eastAsia="Times New Roman" w:cs="Times New Roman"/>
          <w:spacing w:val="5"/>
          <w:position w:val="4"/>
        </w:rPr>
        <w:t>37</w:t>
      </w:r>
      <w:r>
        <w:rPr>
          <w:spacing w:val="5"/>
          <w:position w:val="4"/>
        </w:rPr>
        <w:t>．焦虑症；</w:t>
      </w:r>
    </w:p>
    <w:p w14:paraId="70DD8CEF">
      <w:pPr>
        <w:pStyle w:val="2"/>
        <w:spacing w:before="57" w:line="502" w:lineRule="exact"/>
        <w:ind w:left="653"/>
      </w:pPr>
      <w:r>
        <w:rPr>
          <w:rFonts w:ascii="Times New Roman" w:hAnsi="Times New Roman" w:eastAsia="Times New Roman" w:cs="Times New Roman"/>
          <w:spacing w:val="5"/>
          <w:position w:val="5"/>
        </w:rPr>
        <w:t>38</w:t>
      </w:r>
      <w:r>
        <w:rPr>
          <w:spacing w:val="5"/>
          <w:position w:val="5"/>
        </w:rPr>
        <w:t>．强迫症；</w:t>
      </w:r>
    </w:p>
    <w:p w14:paraId="7D1862BA">
      <w:pPr>
        <w:pStyle w:val="2"/>
        <w:spacing w:before="60" w:line="508" w:lineRule="exact"/>
        <w:ind w:left="653"/>
        <w:outlineLvl w:val="0"/>
      </w:pPr>
      <w:r>
        <w:rPr>
          <w:rFonts w:ascii="Times New Roman" w:hAnsi="Times New Roman" w:eastAsia="Times New Roman" w:cs="Times New Roman"/>
          <w:spacing w:val="5"/>
          <w:position w:val="4"/>
        </w:rPr>
        <w:t>39</w:t>
      </w:r>
      <w:r>
        <w:rPr>
          <w:spacing w:val="5"/>
          <w:position w:val="4"/>
        </w:rPr>
        <w:t>．抑郁症。</w:t>
      </w:r>
    </w:p>
    <w:p w14:paraId="11385B7A">
      <w:pPr>
        <w:spacing w:before="23"/>
      </w:pPr>
    </w:p>
    <w:p w14:paraId="05ADC827">
      <w:pPr>
        <w:spacing w:before="23"/>
      </w:pPr>
    </w:p>
    <w:p w14:paraId="6B10999F">
      <w:pPr>
        <w:spacing w:before="23"/>
      </w:pPr>
    </w:p>
    <w:p w14:paraId="195CF9C2">
      <w:pPr>
        <w:spacing w:before="23"/>
      </w:pPr>
    </w:p>
    <w:p w14:paraId="099F0E32">
      <w:pPr>
        <w:spacing w:before="23"/>
      </w:pPr>
    </w:p>
    <w:tbl>
      <w:tblPr>
        <w:tblStyle w:val="5"/>
        <w:tblW w:w="88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33"/>
        <w:gridCol w:w="4301"/>
      </w:tblGrid>
      <w:tr w14:paraId="4CA4D3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9" w:hRule="atLeast"/>
        </w:trPr>
        <w:tc>
          <w:tcPr>
            <w:tcW w:w="4533" w:type="dxa"/>
            <w:tcBorders>
              <w:top w:val="single" w:color="000000" w:sz="2" w:space="0"/>
              <w:bottom w:val="single" w:color="000000" w:sz="2" w:space="0"/>
            </w:tcBorders>
            <w:vAlign w:val="top"/>
          </w:tcPr>
          <w:p w14:paraId="18FBD6F2">
            <w:pPr>
              <w:spacing w:before="237" w:line="212" w:lineRule="auto"/>
              <w:ind w:left="414"/>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重庆市医疗保障局办公室</w:t>
            </w:r>
          </w:p>
        </w:tc>
        <w:tc>
          <w:tcPr>
            <w:tcW w:w="4301" w:type="dxa"/>
            <w:tcBorders>
              <w:top w:val="single" w:color="000000" w:sz="2" w:space="0"/>
              <w:bottom w:val="single" w:color="000000" w:sz="2" w:space="0"/>
            </w:tcBorders>
            <w:vAlign w:val="top"/>
          </w:tcPr>
          <w:p w14:paraId="272938FA">
            <w:pPr>
              <w:spacing w:before="201" w:line="233" w:lineRule="auto"/>
              <w:ind w:left="1150"/>
              <w:rPr>
                <w:rFonts w:ascii="方正仿宋_GBK" w:hAnsi="方正仿宋_GBK" w:eastAsia="方正仿宋_GBK" w:cs="方正仿宋_GBK"/>
                <w:sz w:val="28"/>
                <w:szCs w:val="28"/>
              </w:rPr>
            </w:pPr>
            <w:r>
              <w:rPr>
                <w:rFonts w:ascii="Times New Roman" w:hAnsi="Times New Roman" w:eastAsia="Times New Roman" w:cs="Times New Roman"/>
                <w:spacing w:val="-10"/>
                <w:sz w:val="28"/>
                <w:szCs w:val="28"/>
              </w:rPr>
              <w:t>2025</w:t>
            </w:r>
            <w:r>
              <w:rPr>
                <w:rFonts w:ascii="方正仿宋_GBK" w:hAnsi="方正仿宋_GBK" w:eastAsia="方正仿宋_GBK" w:cs="方正仿宋_GBK"/>
                <w:spacing w:val="-10"/>
                <w:sz w:val="28"/>
                <w:szCs w:val="28"/>
              </w:rPr>
              <w:t>年</w:t>
            </w:r>
            <w:r>
              <w:rPr>
                <w:rFonts w:ascii="Times New Roman" w:hAnsi="Times New Roman" w:eastAsia="Times New Roman" w:cs="Times New Roman"/>
                <w:spacing w:val="-10"/>
                <w:sz w:val="28"/>
                <w:szCs w:val="28"/>
              </w:rPr>
              <w:t>3</w:t>
            </w:r>
            <w:r>
              <w:rPr>
                <w:rFonts w:ascii="方正仿宋_GBK" w:hAnsi="方正仿宋_GBK" w:eastAsia="方正仿宋_GBK" w:cs="方正仿宋_GBK"/>
                <w:spacing w:val="-10"/>
                <w:sz w:val="28"/>
                <w:szCs w:val="28"/>
              </w:rPr>
              <w:t>月</w:t>
            </w:r>
            <w:r>
              <w:rPr>
                <w:rFonts w:ascii="Times New Roman" w:hAnsi="Times New Roman" w:eastAsia="Times New Roman" w:cs="Times New Roman"/>
                <w:spacing w:val="-10"/>
                <w:sz w:val="28"/>
                <w:szCs w:val="28"/>
              </w:rPr>
              <w:t>26</w:t>
            </w:r>
            <w:r>
              <w:rPr>
                <w:rFonts w:ascii="方正仿宋_GBK" w:hAnsi="方正仿宋_GBK" w:eastAsia="方正仿宋_GBK" w:cs="方正仿宋_GBK"/>
                <w:spacing w:val="-10"/>
                <w:sz w:val="28"/>
                <w:szCs w:val="28"/>
              </w:rPr>
              <w:t>日印发</w:t>
            </w:r>
          </w:p>
        </w:tc>
      </w:tr>
    </w:tbl>
    <w:p w14:paraId="54FB3E3F">
      <w:pPr>
        <w:rPr>
          <w:rFonts w:ascii="Arial"/>
          <w:sz w:val="21"/>
        </w:rPr>
      </w:pPr>
    </w:p>
    <w:sectPr>
      <w:footerReference r:id="rId22" w:type="default"/>
      <w:pgSz w:w="11906" w:h="16839"/>
      <w:pgMar w:top="1431" w:right="1484" w:bottom="1315" w:left="1587" w:header="0" w:footer="9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A3518">
    <w:pPr>
      <w:spacing w:before="1" w:line="235" w:lineRule="auto"/>
      <w:ind w:left="8311"/>
      <w:rPr>
        <w:rFonts w:ascii="宋体" w:hAnsi="宋体" w:eastAsia="宋体" w:cs="宋体"/>
        <w:sz w:val="28"/>
        <w:szCs w:val="28"/>
      </w:rPr>
    </w:pPr>
    <w:r>
      <w:rPr>
        <w:rFonts w:ascii="宋体" w:hAnsi="宋体" w:eastAsia="宋体" w:cs="宋体"/>
        <w:spacing w:val="-14"/>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FFAC">
    <w:pPr>
      <w:spacing w:line="234" w:lineRule="auto"/>
      <w:rPr>
        <w:rFonts w:ascii="宋体" w:hAnsi="宋体" w:eastAsia="宋体" w:cs="宋体"/>
        <w:sz w:val="28"/>
        <w:szCs w:val="28"/>
      </w:rPr>
    </w:pPr>
    <w:r>
      <w:rPr>
        <w:rFonts w:ascii="宋体" w:hAnsi="宋体" w:eastAsia="宋体" w:cs="宋体"/>
        <w:spacing w:val="-10"/>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BB4CF">
    <w:pPr>
      <w:spacing w:before="1" w:line="235"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1</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125C">
    <w:pPr>
      <w:spacing w:before="1" w:line="235" w:lineRule="auto"/>
      <w:rPr>
        <w:rFonts w:ascii="宋体" w:hAnsi="宋体" w:eastAsia="宋体" w:cs="宋体"/>
        <w:sz w:val="28"/>
        <w:szCs w:val="28"/>
      </w:rPr>
    </w:pPr>
    <w:r>
      <w:rPr>
        <w:rFonts w:ascii="宋体" w:hAnsi="宋体" w:eastAsia="宋体" w:cs="宋体"/>
        <w:spacing w:val="-10"/>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7826">
    <w:pPr>
      <w:spacing w:line="234"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3</w:t>
    </w:r>
    <w:r>
      <w:rPr>
        <w:rFonts w:ascii="宋体" w:hAnsi="宋体" w:eastAsia="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61EF">
    <w:pPr>
      <w:spacing w:before="1" w:line="235" w:lineRule="auto"/>
      <w:rPr>
        <w:rFonts w:ascii="宋体" w:hAnsi="宋体" w:eastAsia="宋体" w:cs="宋体"/>
        <w:sz w:val="28"/>
        <w:szCs w:val="28"/>
      </w:rPr>
    </w:pPr>
    <w:r>
      <w:rPr>
        <w:rFonts w:ascii="宋体" w:hAnsi="宋体" w:eastAsia="宋体" w:cs="宋体"/>
        <w:spacing w:val="-10"/>
        <w:sz w:val="28"/>
        <w:szCs w:val="2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BCB9">
    <w:pPr>
      <w:spacing w:line="234"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5</w:t>
    </w:r>
    <w:r>
      <w:rPr>
        <w:rFonts w:ascii="宋体" w:hAnsi="宋体" w:eastAsia="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6261A">
    <w:pPr>
      <w:spacing w:line="234" w:lineRule="auto"/>
      <w:rPr>
        <w:rFonts w:ascii="宋体" w:hAnsi="宋体" w:eastAsia="宋体" w:cs="宋体"/>
        <w:sz w:val="28"/>
        <w:szCs w:val="28"/>
      </w:rPr>
    </w:pPr>
    <w:r>
      <w:rPr>
        <w:rFonts w:ascii="宋体" w:hAnsi="宋体" w:eastAsia="宋体" w:cs="宋体"/>
        <w:spacing w:val="-10"/>
        <w:sz w:val="28"/>
        <w:szCs w:val="2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47111">
    <w:pPr>
      <w:spacing w:line="234"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7</w:t>
    </w:r>
    <w:r>
      <w:rPr>
        <w:rFonts w:ascii="宋体" w:hAnsi="宋体" w:eastAsia="宋体" w:cs="宋体"/>
        <w:spacing w:val="-10"/>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6C87A">
    <w:pPr>
      <w:spacing w:line="234" w:lineRule="auto"/>
      <w:ind w:left="8"/>
      <w:rPr>
        <w:rFonts w:ascii="宋体" w:hAnsi="宋体" w:eastAsia="宋体" w:cs="宋体"/>
        <w:sz w:val="28"/>
        <w:szCs w:val="28"/>
      </w:rPr>
    </w:pPr>
    <w:r>
      <w:rPr>
        <w:rFonts w:ascii="宋体" w:hAnsi="宋体" w:eastAsia="宋体" w:cs="宋体"/>
        <w:spacing w:val="-10"/>
        <w:sz w:val="28"/>
        <w:szCs w:val="2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F59B4">
    <w:pPr>
      <w:spacing w:before="1" w:line="235" w:lineRule="auto"/>
      <w:rPr>
        <w:rFonts w:ascii="宋体" w:hAnsi="宋体" w:eastAsia="宋体" w:cs="宋体"/>
        <w:sz w:val="28"/>
        <w:szCs w:val="28"/>
      </w:rPr>
    </w:pPr>
    <w:r>
      <w:rPr>
        <w:rFonts w:ascii="宋体" w:hAnsi="宋体" w:eastAsia="宋体" w:cs="宋体"/>
        <w:spacing w:val="-8"/>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02C8">
    <w:pPr>
      <w:spacing w:line="234" w:lineRule="auto"/>
      <w:ind w:left="8163"/>
      <w:rPr>
        <w:rFonts w:ascii="宋体" w:hAnsi="宋体" w:eastAsia="宋体" w:cs="宋体"/>
        <w:sz w:val="28"/>
        <w:szCs w:val="28"/>
      </w:rPr>
    </w:pPr>
    <w:r>
      <w:rPr>
        <w:rFonts w:ascii="宋体" w:hAnsi="宋体" w:eastAsia="宋体" w:cs="宋体"/>
        <w:spacing w:val="-9"/>
        <w:sz w:val="28"/>
        <w:szCs w:val="2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686F">
    <w:pPr>
      <w:spacing w:before="1" w:line="235" w:lineRule="auto"/>
      <w:ind w:left="17"/>
      <w:rPr>
        <w:rFonts w:ascii="宋体" w:hAnsi="宋体" w:eastAsia="宋体" w:cs="宋体"/>
        <w:sz w:val="28"/>
        <w:szCs w:val="28"/>
      </w:rPr>
    </w:pPr>
    <w:r>
      <w:rPr>
        <w:rFonts w:ascii="宋体" w:hAnsi="宋体" w:eastAsia="宋体" w:cs="宋体"/>
        <w:spacing w:val="-6"/>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A3F1">
    <w:pPr>
      <w:spacing w:line="234" w:lineRule="auto"/>
      <w:ind w:right="44"/>
      <w:jc w:val="right"/>
      <w:rPr>
        <w:rFonts w:ascii="宋体" w:hAnsi="宋体" w:eastAsia="宋体" w:cs="宋体"/>
        <w:sz w:val="28"/>
        <w:szCs w:val="28"/>
      </w:rPr>
    </w:pPr>
    <w:r>
      <w:rPr>
        <w:rFonts w:ascii="宋体" w:hAnsi="宋体" w:eastAsia="宋体" w:cs="宋体"/>
        <w:spacing w:val="-9"/>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AF1F">
    <w:pPr>
      <w:spacing w:line="234" w:lineRule="auto"/>
      <w:rPr>
        <w:rFonts w:ascii="宋体" w:hAnsi="宋体" w:eastAsia="宋体" w:cs="宋体"/>
        <w:sz w:val="28"/>
        <w:szCs w:val="28"/>
      </w:rPr>
    </w:pPr>
    <w:r>
      <w:rPr>
        <w:rFonts w:ascii="宋体" w:hAnsi="宋体" w:eastAsia="宋体" w:cs="宋体"/>
        <w:spacing w:val="-7"/>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0A3DB">
    <w:pPr>
      <w:spacing w:line="234" w:lineRule="auto"/>
      <w:jc w:val="right"/>
      <w:rPr>
        <w:rFonts w:ascii="宋体" w:hAnsi="宋体" w:eastAsia="宋体" w:cs="宋体"/>
        <w:sz w:val="28"/>
        <w:szCs w:val="28"/>
      </w:rPr>
    </w:pPr>
    <w:r>
      <w:rPr>
        <w:rFonts w:ascii="宋体" w:hAnsi="宋体" w:eastAsia="宋体" w:cs="宋体"/>
        <w:spacing w:val="-13"/>
        <w:sz w:val="28"/>
        <w:szCs w:val="28"/>
      </w:rPr>
      <w:t>-7</w:t>
    </w:r>
    <w:r>
      <w:rPr>
        <w:rFonts w:ascii="宋体" w:hAnsi="宋体" w:eastAsia="宋体" w:cs="宋体"/>
        <w:spacing w:val="-1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74E3A">
    <w:pPr>
      <w:spacing w:line="234" w:lineRule="auto"/>
      <w:ind w:left="3"/>
      <w:rPr>
        <w:rFonts w:ascii="宋体" w:hAnsi="宋体" w:eastAsia="宋体" w:cs="宋体"/>
        <w:sz w:val="28"/>
        <w:szCs w:val="28"/>
      </w:rPr>
    </w:pPr>
    <w:r>
      <w:rPr>
        <w:rFonts w:ascii="宋体" w:hAnsi="宋体" w:eastAsia="宋体" w:cs="宋体"/>
        <w:spacing w:val="-7"/>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C26D">
    <w:pPr>
      <w:spacing w:line="234" w:lineRule="auto"/>
      <w:ind w:left="8140"/>
      <w:rPr>
        <w:rFonts w:ascii="宋体" w:hAnsi="宋体" w:eastAsia="宋体" w:cs="宋体"/>
        <w:sz w:val="28"/>
        <w:szCs w:val="28"/>
      </w:rPr>
    </w:pPr>
    <w:r>
      <w:rPr>
        <w:rFonts w:ascii="宋体" w:hAnsi="宋体" w:eastAsia="宋体" w:cs="宋体"/>
        <w:spacing w:val="-7"/>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D084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6313</Words>
  <Characters>6473</Characters>
  <TotalTime>2</TotalTime>
  <ScaleCrop>false</ScaleCrop>
  <LinksUpToDate>false</LinksUpToDate>
  <CharactersWithSpaces>6800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2025-03-26T09:37:00Z</dcterms:created>
  <dc:creator>User</dc:creator>
  <cp:lastModifiedBy>袁航</cp:lastModifiedBy>
  <dcterms:modified xsi:type="dcterms:W3CDTF">2025-09-01T08:57:07Z</dcterms:modified>
  <dc:title>重庆培育消费新增长点情况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2025-09-01T16:54:11Z</vt:filetime>
  </property>
  <property fmtid="{D5CDD505-2E9C-101B-9397-08002B2CF9AE}" pid="4" name="KSOTemplateDocerSaveRecord">
    <vt:lpwstr>eyJoZGlkIjoiOTkwZmY5M2FiOGI3NmUxNmU3Mzg0ZTkyMmNkZjI3NWMiLCJ1c2VySWQiOiIxNjc5NDU3OTgyIn0=</vt:lpwstr>
  </property>
  <property fmtid="{D5CDD505-2E9C-101B-9397-08002B2CF9AE}" pid="5" name="KSOProductBuildVer">
    <vt:lpwstr>2052-12.1.0.21915</vt:lpwstr>
  </property>
  <property fmtid="{D5CDD505-2E9C-101B-9397-08002B2CF9AE}" pid="6" name="ICV">
    <vt:lpwstr>C38F49B1935F46089BEFF2D96E144486_12</vt:lpwstr>
  </property>
</Properties>
</file>