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sz w:val="32"/>
          <w:szCs w:val="32"/>
          <w:lang w:eastAsia="zh-CN"/>
        </w:rPr>
      </w:pPr>
    </w:p>
    <w:p>
      <w:pPr>
        <w:keepNext w:val="0"/>
        <w:keepLines w:val="0"/>
        <w:pageBreakBefore w:val="0"/>
        <w:widowControl w:val="0"/>
        <w:kinsoku/>
        <w:overflowPunct/>
        <w:topLinePunct w:val="0"/>
        <w:bidi w:val="0"/>
        <w:spacing w:line="540" w:lineRule="exact"/>
        <w:ind w:left="0" w:right="0"/>
        <w:jc w:val="center"/>
        <w:textAlignment w:val="auto"/>
        <w:rPr>
          <w:rFonts w:ascii="方正仿宋_GBK" w:eastAsia="方正仿宋_GBK" w:cs="方正仿宋_GBK" w:hint="eastAsia"/>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right="-335"/>
        <w:jc w:val="center"/>
        <w:textAlignment w:val="auto"/>
        <w:rPr>
          <w:rFonts w:ascii="方正小标宋_GBK" w:eastAsia="方正小标宋_GBK" w:cs="方正小标宋_GBK"/>
          <w:sz w:val="44"/>
          <w:szCs w:val="44"/>
          <w:lang w:val="en-US" w:eastAsia="zh-CN" w:bidi="ar-SA"/>
        </w:rPr>
      </w:pPr>
      <w:r>
        <w:rPr>
          <w:rFonts w:ascii="方正小标宋_GBK" w:eastAsia="方正小标宋_GBK" w:cs="方正小标宋_GBK"/>
          <w:sz w:val="44"/>
          <w:szCs w:val="44"/>
          <w:lang w:val="en-US" w:eastAsia="zh-CN" w:bidi="ar-SA"/>
        </w:rPr>
        <w:t>重庆市江津区医疗保障局</w:t>
      </w:r>
    </w:p>
    <w:p>
      <w:pPr>
        <w:keepNext w:val="0"/>
        <w:keepLines w:val="0"/>
        <w:pageBreakBefore w:val="0"/>
        <w:widowControl w:val="0"/>
        <w:shd w:val="clear" w:color="auto" w:fill="FFFFFF"/>
        <w:kinsoku/>
        <w:wordWrap/>
        <w:overflowPunct/>
        <w:topLinePunct w:val="0"/>
        <w:autoSpaceDE/>
        <w:autoSpaceDN/>
        <w:adjustRightInd/>
        <w:snapToGrid/>
        <w:spacing w:line="540" w:lineRule="exact"/>
        <w:ind w:right="-335"/>
        <w:jc w:val="center"/>
        <w:rPr>
          <w:rFonts w:ascii="方正小标宋_GBK" w:eastAsia="方正小标宋_GBK" w:cs="方正小标宋_GBK"/>
          <w:sz w:val="44"/>
          <w:szCs w:val="44"/>
          <w:lang w:val="en-US" w:eastAsia="zh-CN" w:bidi="ar-SA"/>
        </w:rPr>
      </w:pPr>
      <w:r>
        <w:rPr>
          <w:rFonts w:ascii="方正小标宋_GBK" w:eastAsia="方正小标宋_GBK" w:cs="方正小标宋_GBK"/>
          <w:sz w:val="44"/>
          <w:szCs w:val="44"/>
          <w:lang w:val="en-US" w:eastAsia="zh-CN" w:bidi="ar-SA"/>
        </w:rPr>
        <w:t>关于加强公立医疗机构药品配送管理的通知</w:t>
      </w:r>
    </w:p>
    <w:p>
      <w:pPr>
        <w:keepNext w:val="0"/>
        <w:keepLines w:val="0"/>
        <w:pageBreakBefore w:val="0"/>
        <w:widowControl w:val="0"/>
        <w:shd w:val="clear" w:color="auto" w:fill="FFFFFF"/>
        <w:kinsoku/>
        <w:wordWrap/>
        <w:overflowPunct/>
        <w:topLinePunct w:val="0"/>
        <w:autoSpaceDE/>
        <w:autoSpaceDN/>
        <w:adjustRightInd/>
        <w:snapToGrid/>
        <w:spacing w:line="540" w:lineRule="exact"/>
        <w:ind w:right="-335"/>
        <w:jc w:val="center"/>
        <w:rPr>
          <w:rFonts w:ascii="Times New Roman" w:eastAsia="方正仿宋_GBK" w:cs="Times New Roman" w:hAnsi="Times New Roman" w:hint="eastAsia"/>
          <w:i w:val="0"/>
          <w:caps w:val="0"/>
          <w:smallCaps w:val="0"/>
          <w:color w:val="auto"/>
          <w:spacing w:val="0"/>
          <w:sz w:val="44"/>
          <w:szCs w:val="44"/>
          <w:shd w:val="clear" w:color="auto" w:fill="FFFFFF"/>
          <w:lang w:eastAsia="zh-CN"/>
        </w:rPr>
      </w:pPr>
      <w:r>
        <w:rPr>
          <w:rFonts w:ascii="Times New Roman" w:eastAsia="方正仿宋_GBK" w:cs="Times New Roman" w:hAnsi="Times New Roman" w:hint="eastAsia"/>
          <w:sz w:val="32"/>
          <w:szCs w:val="32"/>
          <w:lang w:val="en-US" w:eastAsia="zh-CN"/>
        </w:rPr>
        <w:t>津</w:t>
      </w:r>
      <w:r>
        <w:rPr>
          <w:rFonts w:ascii="Times New Roman" w:eastAsia="方正仿宋_GBK" w:cs="Times New Roman" w:hAnsi="Times New Roman"/>
          <w:sz w:val="32"/>
          <w:szCs w:val="32"/>
          <w:lang w:val="en-US" w:eastAsia="zh-CN"/>
        </w:rPr>
        <w:t>医保发</w:t>
      </w:r>
      <w:r>
        <w:rPr>
          <w:rFonts w:ascii="Times New Roman" w:eastAsia="方正仿宋_GBK" w:cs="Times New Roman" w:hAnsi="Times New Roman" w:hint="eastAsia"/>
          <w:sz w:val="32"/>
          <w:szCs w:val="32"/>
          <w:lang w:val="en-US" w:eastAsia="zh-CN"/>
        </w:rPr>
        <w:t>〔202</w:t>
      </w:r>
      <w:r>
        <w:rPr>
          <w:rFonts w:ascii="Times New Roman" w:eastAsia="方正仿宋_GBK" w:cs="Times New Roman" w:hAnsi="Times New Roman"/>
          <w:sz w:val="32"/>
          <w:szCs w:val="32"/>
          <w:lang w:val="en-US" w:eastAsia="zh-CN"/>
        </w:rPr>
        <w:t>3</w:t>
      </w:r>
      <w:r>
        <w:rPr>
          <w:rFonts w:ascii="Times New Roman" w:eastAsia="方正仿宋_GBK" w:cs="Times New Roman" w:hAnsi="Times New Roman" w:hint="eastAsia"/>
          <w:sz w:val="32"/>
          <w:szCs w:val="32"/>
          <w:lang w:val="en-US" w:eastAsia="zh-CN"/>
        </w:rPr>
        <w:t>〕</w:t>
      </w:r>
      <w:r>
        <w:rPr>
          <w:rFonts w:ascii="Times New Roman" w:eastAsia="方正仿宋_GBK" w:cs="Times New Roman" w:hAnsi="Times New Roman"/>
          <w:sz w:val="32"/>
          <w:szCs w:val="32"/>
          <w:lang w:val="en-US" w:eastAsia="zh-CN"/>
        </w:rPr>
        <w:t>10</w:t>
      </w:r>
      <w:r>
        <w:rPr>
          <w:rFonts w:ascii="Times New Roman" w:eastAsia="方正仿宋_GBK" w:cs="Times New Roman" w:hAnsi="Times New Roman" w:hint="eastAsia"/>
          <w:sz w:val="32"/>
          <w:szCs w:val="32"/>
          <w:lang w:val="en-US" w:eastAsia="zh-CN"/>
        </w:rPr>
        <w:t>号</w:t>
      </w:r>
    </w:p>
    <w:p>
      <w:pPr>
        <w:adjustRightInd w:val="0"/>
        <w:snapToGrid w:val="0"/>
        <w:spacing w:line="600" w:lineRule="exact"/>
        <w:ind w:firstLine="640"/>
        <w:rPr>
          <w:rFonts w:ascii="Times New Roman" w:eastAsia="宋体" w:cs="宋体" w:hAnsi="Times New Roman"/>
          <w:i w:val="0"/>
          <w:caps w:val="0"/>
          <w:smallCaps w:val="0"/>
          <w:color w:val="auto"/>
          <w:spacing w:val="0"/>
          <w:sz w:val="44"/>
          <w:szCs w:val="44"/>
          <w:shd w:val="clear" w:color="auto" w:fill="FFFFFF"/>
          <w:lang w:val="en-US" w:eastAsia="zh-CN"/>
        </w:rPr>
      </w:pPr>
    </w:p>
    <w:p>
      <w:pPr>
        <w:pageBreakBefore w:val="0"/>
        <w:widowControl w:val="0"/>
        <w:shd w:val="clear" w:color="auto" w:fill="FFFFFF"/>
        <w:kinsoku/>
        <w:wordWrap/>
        <w:overflowPunct/>
        <w:topLinePunct w:val="0"/>
        <w:autoSpaceDE/>
        <w:autoSpaceDN/>
        <w:bidi w:val="0"/>
        <w:spacing w:line="600" w:lineRule="exact"/>
        <w:textAlignment w:val="auto"/>
        <w:rPr>
          <w:rFonts w:ascii="Times New Roman" w:eastAsia="方正仿宋_GBK" w:cs="方正仿宋_GBK" w:hAnsi="Times New Roman"/>
          <w:sz w:val="32"/>
          <w:szCs w:val="32"/>
          <w:lang w:val="en-US" w:eastAsia="zh-CN" w:bidi="ar-SA"/>
        </w:rPr>
      </w:pPr>
      <w:r>
        <w:rPr>
          <w:rFonts w:ascii="Times New Roman" w:eastAsia="方正仿宋_GBK" w:cs="方正仿宋_GBK" w:hAnsi="Times New Roman"/>
          <w:sz w:val="32"/>
          <w:szCs w:val="32"/>
          <w:lang w:val="en-US" w:eastAsia="zh-CN" w:bidi="ar-SA"/>
        </w:rPr>
        <w:t>各公立医疗机构：</w:t>
      </w:r>
    </w:p>
    <w:p>
      <w:pPr>
        <w:pageBreakBefore w:val="0"/>
        <w:widowControl w:val="0"/>
        <w:shd w:val="clear" w:color="auto" w:fill="FFFFFF"/>
        <w:kinsoku/>
        <w:wordWrap/>
        <w:overflowPunct/>
        <w:topLinePunct w:val="0"/>
        <w:autoSpaceDE/>
        <w:autoSpaceDN/>
        <w:bidi w:val="0"/>
        <w:spacing w:line="600" w:lineRule="exact"/>
        <w:ind w:left="0" w:firstLineChars="200" w:firstLine="640"/>
        <w:textAlignment w:val="auto"/>
        <w:rPr>
          <w:rFonts w:ascii="Times New Roman" w:eastAsia="方正仿宋_GBK" w:cs="方正仿宋_GBK" w:hAnsi="Times New Roman"/>
          <w:sz w:val="32"/>
          <w:szCs w:val="32"/>
          <w:lang w:val="en-US" w:eastAsia="zh-CN" w:bidi="ar-SA"/>
        </w:rPr>
      </w:pPr>
      <w:r>
        <w:rPr>
          <w:rFonts w:ascii="Times New Roman" w:eastAsia="方正仿宋_GBK" w:cs="方正仿宋_GBK" w:hAnsi="Times New Roman"/>
          <w:sz w:val="32"/>
          <w:szCs w:val="32"/>
          <w:lang w:val="en-US" w:eastAsia="zh-CN" w:bidi="ar-SA"/>
        </w:rPr>
        <w:t>为保障公立医疗机构临床用药需求，根据《重庆市人民政府办公厅关于完善药品交易采购机制的实施意见》（渝府办发〔2020〕134号）《重庆市人民政府办公厅关于进一步改革完善药品生产流通使用政策的意见》（渝府办发〔2017〕142号）《中共重庆市江津区委全面深化改革委员会医药卫生体制改革专项小组关于印发江津区深入推广福建省三明市经验深化医药卫生体制改革的实施方案的通知》（津医改〔2022〕1号）《重庆市江津区人民政府办公室关于印发江津区卫生健康共同体“三通”建设实施方案的通知》（江津府办发〔2021〕75号）等文件要求，结合本区实际，现就加强全区公立医疗机构药品配送管理有关事项通知如下。</w:t>
      </w:r>
    </w:p>
    <w:p>
      <w:pPr>
        <w:pageBreakBefore w:val="0"/>
        <w:widowControl w:val="0"/>
        <w:shd w:val="clear" w:color="auto" w:fill="FFFFFF"/>
        <w:kinsoku/>
        <w:wordWrap/>
        <w:overflowPunct/>
        <w:topLinePunct w:val="0"/>
        <w:autoSpaceDE/>
        <w:autoSpaceDN/>
        <w:bidi w:val="0"/>
        <w:spacing w:line="600" w:lineRule="exact"/>
        <w:ind w:left="0" w:firstLineChars="200" w:firstLine="640"/>
        <w:textAlignment w:val="auto"/>
        <w:rPr>
          <w:rFonts w:ascii="方正黑体_GBK" w:eastAsia="方正黑体_GBK" w:cs="方正仿宋_GBK" w:hint="eastAsia"/>
          <w:sz w:val="32"/>
          <w:szCs w:val="32"/>
          <w:lang w:val="en-US" w:eastAsia="zh-CN" w:bidi="ar-SA"/>
        </w:rPr>
      </w:pPr>
      <w:r>
        <w:rPr>
          <w:rFonts w:ascii="方正黑体_GBK" w:eastAsia="方正黑体_GBK" w:cs="方正仿宋_GBK" w:hint="eastAsia"/>
          <w:sz w:val="32"/>
          <w:szCs w:val="32"/>
          <w:lang w:val="en-US" w:eastAsia="zh-CN" w:bidi="ar-SA"/>
        </w:rPr>
        <w:t>一、强化药品供应保障机制</w:t>
      </w:r>
    </w:p>
    <w:p>
      <w:pPr>
        <w:pageBreakBefore w:val="0"/>
        <w:widowControl w:val="0"/>
        <w:shd w:val="clear" w:color="auto" w:fill="FFFFFF"/>
        <w:kinsoku/>
        <w:wordWrap/>
        <w:overflowPunct/>
        <w:topLinePunct w:val="0"/>
        <w:autoSpaceDE/>
        <w:autoSpaceDN/>
        <w:bidi w:val="0"/>
        <w:spacing w:line="600" w:lineRule="exact"/>
        <w:ind w:left="0" w:firstLineChars="200" w:firstLine="640"/>
        <w:textAlignment w:val="auto"/>
        <w:rPr>
          <w:rFonts w:ascii="Times New Roman" w:eastAsia="方正仿宋_GBK" w:cs="方正仿宋_GBK" w:hAnsi="Times New Roman"/>
          <w:sz w:val="32"/>
          <w:szCs w:val="32"/>
          <w:lang w:val="en-US" w:eastAsia="zh-CN" w:bidi="ar-SA"/>
        </w:rPr>
      </w:pPr>
      <w:r>
        <w:rPr>
          <w:rFonts w:ascii="Times New Roman" w:eastAsia="方正仿宋_GBK" w:cs="方正仿宋_GBK" w:hAnsi="Times New Roman"/>
          <w:sz w:val="32"/>
          <w:szCs w:val="32"/>
          <w:lang w:val="en-US" w:eastAsia="zh-CN" w:bidi="ar-SA"/>
        </w:rPr>
        <w:t>根据重庆市政府办公厅文件要求，具体药品的配送企业由药品生产企业自主选定。各公立医疗机构应为药品生产企业指定的配送企业开展配送业务提供必要的方便，畅通进院渠道，不得设置不利于落实药品生产企业自主确定配送企业的配送权的限制性条款。药品配送企业要按照医疗机构网上订单需求、合同约定及时配送药品，保证各医疗机构的用药需求。配送不到位或不及时的，医疗机构要及时与相关配送企业、生产企业沟通、联系，必要时向区医保局反馈。区医保局将积极协调开展用药可及性的采购配送等保障工作。</w:t>
      </w:r>
    </w:p>
    <w:p>
      <w:pPr>
        <w:pageBreakBefore w:val="0"/>
        <w:widowControl w:val="0"/>
        <w:shd w:val="clear" w:color="auto" w:fill="FFFFFF"/>
        <w:kinsoku/>
        <w:wordWrap/>
        <w:overflowPunct/>
        <w:topLinePunct w:val="0"/>
        <w:autoSpaceDE/>
        <w:autoSpaceDN/>
        <w:spacing w:line="600" w:lineRule="exact"/>
        <w:ind w:left="0" w:firstLineChars="200" w:firstLine="640"/>
        <w:rPr>
          <w:rFonts w:ascii="方正黑体_GBK" w:eastAsia="方正黑体_GBK" w:cs="方正仿宋_GBK" w:hint="eastAsia"/>
          <w:sz w:val="32"/>
          <w:szCs w:val="32"/>
        </w:rPr>
      </w:pPr>
      <w:r>
        <w:rPr>
          <w:rFonts w:ascii="方正黑体_GBK" w:eastAsia="方正黑体_GBK" w:cs="方正仿宋_GBK" w:hint="eastAsia"/>
          <w:sz w:val="32"/>
          <w:szCs w:val="32"/>
        </w:rPr>
        <w:t>二、自主选择配送企业</w:t>
      </w:r>
    </w:p>
    <w:p>
      <w:pPr>
        <w:pageBreakBefore w:val="0"/>
        <w:widowControl w:val="0"/>
        <w:shd w:val="clear" w:color="auto" w:fill="FFFFFF"/>
        <w:kinsoku/>
        <w:wordWrap/>
        <w:overflowPunct/>
        <w:topLinePunct w:val="0"/>
        <w:autoSpaceDE/>
        <w:autoSpaceDN/>
        <w:bidi w:val="0"/>
        <w:spacing w:line="600" w:lineRule="exact"/>
        <w:ind w:left="0" w:firstLineChars="200" w:firstLine="640"/>
        <w:textAlignment w:val="auto"/>
        <w:rPr>
          <w:rFonts w:ascii="Times New Roman" w:eastAsia="方正仿宋_GBK" w:cs="方正仿宋_GBK" w:hAnsi="Times New Roman"/>
          <w:sz w:val="32"/>
          <w:szCs w:val="32"/>
          <w:lang w:val="en-US" w:eastAsia="zh-CN" w:bidi="ar-SA"/>
        </w:rPr>
      </w:pPr>
      <w:r>
        <w:rPr>
          <w:rFonts w:ascii="Times New Roman" w:eastAsia="方正仿宋_GBK" w:cs="方正仿宋_GBK" w:hAnsi="Times New Roman"/>
          <w:sz w:val="32"/>
          <w:szCs w:val="32"/>
          <w:lang w:val="en-US" w:eastAsia="zh-CN" w:bidi="ar-SA"/>
        </w:rPr>
        <w:t>各公立医疗机构在采购药品时，不得限定使用特定配送企业提供的配送服务。应在采购药品时，同步在药品生产企业指定的配送企业中选择信誉好、服务能力强的配送企业配送具体药品，并对自己的选择行为和结果负责。对配送服务能力和水平较差的企业，各医疗机构要结合平时掌握的情况在采购药品时慎重选择该配送企业的服务。要严格执行“两票制”有关规定。成立医共体的，医共体内实行统一配送，其配送范围应覆盖所有成员单位。代为村卫生室采购的药品原则上由配送公司配送到镇（中心）卫生院或街道社区卫生服务中心，再由村卫生室自行到镇（中心）卫生院或街道社区卫生服务中心收取。各公立医疗机构于每年的1月30日前向区医保局报送上年度的药品配送企业相关情况表（附后）和每家配送企业的基础信息表（附后），当年新增配送企业的，由各公立医疗机构在产生配送业务后30天内，将配送企业的基础信息表报送到区医保局。</w:t>
      </w:r>
    </w:p>
    <w:p>
      <w:pPr>
        <w:pageBreakBefore w:val="0"/>
        <w:widowControl w:val="0"/>
        <w:shd w:val="clear" w:color="auto" w:fill="FFFFFF"/>
        <w:kinsoku/>
        <w:wordWrap/>
        <w:overflowPunct/>
        <w:topLinePunct w:val="0"/>
        <w:autoSpaceDE/>
        <w:autoSpaceDN/>
        <w:spacing w:line="600" w:lineRule="exact"/>
        <w:ind w:left="0" w:firstLineChars="200" w:firstLine="640"/>
        <w:rPr>
          <w:rFonts w:ascii="方正黑体_GBK" w:eastAsia="方正黑体_GBK" w:cs="方正仿宋_GBK" w:hint="eastAsia"/>
          <w:sz w:val="32"/>
          <w:szCs w:val="32"/>
        </w:rPr>
      </w:pPr>
      <w:r>
        <w:rPr>
          <w:rFonts w:ascii="方正黑体_GBK" w:eastAsia="方正黑体_GBK" w:cs="方正仿宋_GBK" w:hint="eastAsia"/>
          <w:sz w:val="32"/>
          <w:szCs w:val="32"/>
        </w:rPr>
        <w:t>三、加强配送行为监管</w:t>
      </w:r>
    </w:p>
    <w:p>
      <w:pPr>
        <w:pageBreakBefore w:val="0"/>
        <w:widowControl w:val="0"/>
        <w:shd w:val="clear" w:color="auto" w:fill="FFFFFF"/>
        <w:kinsoku/>
        <w:wordWrap/>
        <w:overflowPunct/>
        <w:topLinePunct w:val="0"/>
        <w:autoSpaceDE/>
        <w:autoSpaceDN/>
        <w:bidi w:val="0"/>
        <w:spacing w:line="600" w:lineRule="exact"/>
        <w:ind w:left="0" w:firstLineChars="200" w:firstLine="640"/>
        <w:textAlignment w:val="auto"/>
        <w:rPr>
          <w:rFonts w:ascii="Times New Roman" w:eastAsia="方正仿宋_GBK" w:cs="方正仿宋_GBK" w:hAnsi="Times New Roman"/>
          <w:sz w:val="32"/>
          <w:szCs w:val="32"/>
          <w:lang w:val="en-US" w:eastAsia="zh-CN" w:bidi="ar-SA"/>
        </w:rPr>
      </w:pPr>
      <w:r>
        <w:rPr>
          <w:rFonts w:ascii="Times New Roman" w:eastAsia="方正仿宋_GBK" w:cs="方正仿宋_GBK" w:hAnsi="Times New Roman"/>
          <w:sz w:val="32"/>
          <w:szCs w:val="32"/>
          <w:lang w:val="en-US" w:eastAsia="zh-CN" w:bidi="ar-SA"/>
        </w:rPr>
        <w:t>严格执行《重庆市医疗保障局关于印发〈重庆市医药价格和招采信用评价实施办法〉的通知》（渝医保发〔2020〕84号）要求，区医保局将加强与有关部门和单位的配合，加强配送行为的监管。达到《重庆市医药价格和招采信用评价实施办法》规定的惩戒标准的，上报市医药价格和医保基金监测中心进行信用约束。各公立医疗机构在选择配送服务提供商时，要审慎选择其失信等级被评为“一般”“中等”的配送企业提供的服务。其失信等级被评为“严重”的配送企业，各公立医疗机构不得选择其提供的涉案药品配送服务。其失信等级被评为“特别严重”的配送企业，全区各公立医疗机构不得选择其提供的所有配送服务。未经批准，各公立医疗机构不得与医药企业进行线下交易、结算，配送企业存在线下交易、结算情况的，对其进行重点监管并按有关规定给予相应处置。</w:t>
      </w:r>
    </w:p>
    <w:p>
      <w:pPr>
        <w:pageBreakBefore w:val="0"/>
        <w:widowControl w:val="0"/>
        <w:shd w:val="clear" w:color="auto" w:fill="FFFFFF"/>
        <w:kinsoku/>
        <w:wordWrap/>
        <w:overflowPunct/>
        <w:topLinePunct w:val="0"/>
        <w:autoSpaceDE/>
        <w:autoSpaceDN/>
        <w:spacing w:line="600" w:lineRule="exact"/>
        <w:ind w:left="0" w:firstLineChars="200" w:firstLine="640"/>
        <w:rPr>
          <w:rFonts w:ascii="方正黑体_GBK" w:eastAsia="方正黑体_GBK" w:cs="方正仿宋_GBK" w:hint="eastAsia"/>
          <w:sz w:val="32"/>
          <w:szCs w:val="32"/>
        </w:rPr>
      </w:pPr>
      <w:r>
        <w:rPr>
          <w:rFonts w:ascii="方正黑体_GBK" w:eastAsia="方正黑体_GBK" w:cs="方正仿宋_GBK" w:hint="eastAsia"/>
          <w:sz w:val="32"/>
          <w:szCs w:val="32"/>
        </w:rPr>
        <w:t>四、强化服务保障</w:t>
      </w:r>
    </w:p>
    <w:p>
      <w:pPr>
        <w:pageBreakBefore w:val="0"/>
        <w:widowControl w:val="0"/>
        <w:shd w:val="clear" w:color="auto" w:fill="FFFFFF"/>
        <w:kinsoku/>
        <w:wordWrap/>
        <w:overflowPunct/>
        <w:topLinePunct w:val="0"/>
        <w:autoSpaceDE/>
        <w:autoSpaceDN/>
        <w:bidi w:val="0"/>
        <w:spacing w:line="600" w:lineRule="exact"/>
        <w:ind w:left="0" w:firstLineChars="200" w:firstLine="640"/>
        <w:textAlignment w:val="auto"/>
        <w:rPr>
          <w:rFonts w:ascii="Times New Roman" w:eastAsia="方正仿宋_GBK" w:cs="方正仿宋_GBK" w:hAnsi="Times New Roman"/>
          <w:sz w:val="32"/>
          <w:szCs w:val="32"/>
          <w:lang w:val="en-US" w:eastAsia="zh-CN" w:bidi="ar-SA"/>
        </w:rPr>
      </w:pPr>
      <w:r>
        <w:rPr>
          <w:rFonts w:ascii="Times New Roman" w:eastAsia="方正仿宋_GBK" w:cs="方正仿宋_GBK" w:hAnsi="Times New Roman"/>
          <w:sz w:val="32"/>
          <w:szCs w:val="32"/>
          <w:lang w:val="en-US" w:eastAsia="zh-CN" w:bidi="ar-SA"/>
        </w:rPr>
        <w:t>对违反合同约定，配送不及时影响临床用药或拒绝提供偏远地区配送服务的企业，各公立医疗机构要及时汇总上报区医保局，由区医保局对相关配送企业进行提醒、约谈，限期进行整改直至书面函告相应生产企业，建议相应生产企业调整配送企业；拒不整改的，本区所有公立医疗机构（含医共体）2年内不得采购其药品。</w:t>
      </w:r>
      <w:bookmarkStart w:id="0" w:name="_GoBack"/>
      <w:bookmarkEnd w:id="0"/>
    </w:p>
    <w:p>
      <w:pPr>
        <w:pageBreakBefore w:val="0"/>
        <w:widowControl w:val="0"/>
        <w:shd w:val="clear" w:color="auto" w:fill="FFFFFF"/>
        <w:kinsoku/>
        <w:wordWrap/>
        <w:overflowPunct/>
        <w:topLinePunct w:val="0"/>
        <w:autoSpaceDE/>
        <w:autoSpaceDN/>
        <w:spacing w:line="600" w:lineRule="exact"/>
        <w:ind w:left="0" w:firstLineChars="200" w:firstLine="640"/>
        <w:rPr>
          <w:rFonts w:ascii="方正黑体_GBK" w:eastAsia="方正黑体_GBK" w:cs="方正仿宋_GBK" w:hint="eastAsia"/>
          <w:sz w:val="32"/>
          <w:szCs w:val="32"/>
        </w:rPr>
      </w:pPr>
      <w:r>
        <w:rPr>
          <w:rFonts w:ascii="方正黑体_GBK" w:eastAsia="方正黑体_GBK" w:cs="方正仿宋_GBK" w:hint="eastAsia"/>
          <w:sz w:val="32"/>
          <w:szCs w:val="32"/>
        </w:rPr>
        <w:t>五、加强协调配合</w:t>
      </w:r>
    </w:p>
    <w:p>
      <w:pPr>
        <w:pageBreakBefore w:val="0"/>
        <w:widowControl w:val="0"/>
        <w:shd w:val="clear" w:color="auto" w:fill="FFFFFF"/>
        <w:kinsoku/>
        <w:wordWrap/>
        <w:overflowPunct/>
        <w:topLinePunct w:val="0"/>
        <w:autoSpaceDE/>
        <w:autoSpaceDN/>
        <w:bidi w:val="0"/>
        <w:spacing w:line="600" w:lineRule="exact"/>
        <w:ind w:left="0" w:firstLineChars="200" w:firstLine="640"/>
        <w:textAlignment w:val="auto"/>
        <w:rPr>
          <w:rFonts w:ascii="Times New Roman" w:eastAsia="方正仿宋_GBK" w:cs="方正仿宋_GBK" w:hAnsi="Times New Roman"/>
          <w:sz w:val="32"/>
          <w:szCs w:val="32"/>
          <w:lang w:val="en-US" w:eastAsia="zh-CN" w:bidi="ar-SA"/>
        </w:rPr>
      </w:pPr>
      <w:r>
        <w:rPr>
          <w:rFonts w:ascii="Times New Roman" w:eastAsia="方正仿宋_GBK" w:cs="方正仿宋_GBK" w:hAnsi="Times New Roman"/>
          <w:sz w:val="32"/>
          <w:szCs w:val="32"/>
          <w:lang w:val="en-US" w:eastAsia="zh-CN" w:bidi="ar-SA"/>
        </w:rPr>
        <w:t>建立协调配合机制，加强与区卫生健康委、江津区市场监管局、江津区税务局等部门的沟通协调和信息共享，形成工作合力，不断提高药品供应保障水平。</w:t>
      </w:r>
    </w:p>
    <w:p>
      <w:pPr>
        <w:pageBreakBefore w:val="0"/>
        <w:widowControl w:val="0"/>
        <w:shd w:val="clear" w:color="auto" w:fill="FFFFFF"/>
        <w:kinsoku/>
        <w:wordWrap/>
        <w:overflowPunct/>
        <w:topLinePunct w:val="0"/>
        <w:autoSpaceDE/>
        <w:autoSpaceDN/>
        <w:bidi w:val="0"/>
        <w:spacing w:line="600" w:lineRule="exact"/>
        <w:ind w:left="0" w:firstLineChars="200" w:firstLine="640"/>
        <w:textAlignment w:val="auto"/>
        <w:rPr>
          <w:rFonts w:ascii="Times New Roman" w:eastAsia="方正仿宋_GBK" w:cs="方正仿宋_GBK" w:hAnsi="Times New Roman"/>
          <w:sz w:val="32"/>
          <w:szCs w:val="32"/>
          <w:lang w:val="en-US" w:eastAsia="zh-CN" w:bidi="ar-SA"/>
        </w:rPr>
      </w:pPr>
      <w:r>
        <w:rPr>
          <w:rFonts w:ascii="Times New Roman" w:eastAsia="方正仿宋_GBK" w:cs="方正仿宋_GBK" w:hAnsi="Times New Roman"/>
          <w:sz w:val="32"/>
          <w:szCs w:val="32"/>
          <w:lang w:val="en-US" w:eastAsia="zh-CN" w:bidi="ar-SA"/>
        </w:rPr>
        <w:t>本办法自印发之日起施行。</w:t>
      </w:r>
    </w:p>
    <w:p>
      <w:pPr>
        <w:pageBreakBefore w:val="0"/>
        <w:widowControl w:val="0"/>
        <w:shd w:val="clear" w:color="auto" w:fill="FFFFFF"/>
        <w:kinsoku/>
        <w:wordWrap/>
        <w:overflowPunct/>
        <w:topLinePunct w:val="0"/>
        <w:autoSpaceDE/>
        <w:autoSpaceDN/>
        <w:bidi w:val="0"/>
        <w:spacing w:line="600" w:lineRule="exact"/>
        <w:ind w:left="0" w:firstLineChars="200" w:firstLine="640"/>
        <w:textAlignment w:val="auto"/>
        <w:rPr>
          <w:rFonts w:ascii="Times New Roman" w:eastAsia="方正仿宋_GBK" w:cs="方正仿宋_GBK" w:hAnsi="Times New Roman"/>
          <w:sz w:val="32"/>
          <w:szCs w:val="32"/>
          <w:lang w:val="en-US" w:eastAsia="zh-CN" w:bidi="ar-SA"/>
        </w:rPr>
      </w:pPr>
    </w:p>
    <w:p>
      <w:pPr>
        <w:pageBreakBefore w:val="0"/>
        <w:widowControl w:val="0"/>
        <w:shd w:val="clear" w:color="auto" w:fill="FFFFFF"/>
        <w:kinsoku/>
        <w:wordWrap/>
        <w:overflowPunct/>
        <w:topLinePunct w:val="0"/>
        <w:autoSpaceDE/>
        <w:autoSpaceDN/>
        <w:bidi w:val="0"/>
        <w:spacing w:line="600" w:lineRule="exact"/>
        <w:ind w:left="0" w:firstLineChars="200" w:firstLine="640"/>
        <w:textAlignment w:val="auto"/>
        <w:rPr>
          <w:rFonts w:ascii="Times New Roman" w:eastAsia="方正仿宋_GBK" w:cs="方正仿宋_GBK" w:hAnsi="Times New Roman" w:hint="eastAsia"/>
          <w:sz w:val="32"/>
          <w:szCs w:val="32"/>
          <w:lang w:val="en-US" w:eastAsia="zh-CN" w:bidi="ar-SA"/>
        </w:rPr>
      </w:pPr>
      <w:r>
        <w:rPr>
          <w:rFonts w:ascii="Times New Roman" w:eastAsia="方正仿宋_GBK" w:cs="方正仿宋_GBK" w:hAnsi="Times New Roman"/>
          <w:sz w:val="32"/>
          <w:szCs w:val="32"/>
          <w:lang w:val="en-US" w:eastAsia="zh-CN" w:bidi="ar-SA"/>
        </w:rPr>
        <w:t>附件：江津区公立医疗机构药品配送企业情况表</w:t>
      </w:r>
    </w:p>
    <w:p>
      <w:pPr>
        <w:spacing w:line="600" w:lineRule="exact"/>
        <w:ind w:firstLineChars="200" w:firstLine="420"/>
        <w:rPr>
          <w:rFonts w:ascii="Times New Roman" w:cs="方正仿宋_GBK" w:hAnsi="Times New Roman" w:hint="eastAsia"/>
          <w:szCs w:val="32"/>
        </w:rPr>
      </w:pPr>
    </w:p>
    <w:p>
      <w:pPr>
        <w:tabs>
          <w:tab w:val="left" w:pos="7979"/>
          <w:tab w:val="left" w:pos="8189"/>
        </w:tabs>
        <w:spacing w:line="600" w:lineRule="exact"/>
        <w:ind w:rightChars="200" w:right="420"/>
        <w:jc w:val="right"/>
        <w:rPr>
          <w:rFonts w:ascii="Times New Roman" w:eastAsia="方正仿宋_GBK" w:cs="Times New Roman" w:hAnsi="Times New Roman" w:hint="eastAsia"/>
          <w:sz w:val="32"/>
          <w:szCs w:val="32"/>
        </w:rPr>
      </w:pPr>
      <w:r>
        <w:rPr>
          <w:rFonts w:ascii="Times New Roman" w:cs="方正仿宋_GBK" w:hAnsi="Times New Roman" w:hint="eastAsia"/>
          <w:szCs w:val="32"/>
        </w:rPr>
        <w:t xml:space="preserve">                       </w:t>
      </w:r>
      <w:r>
        <w:rPr>
          <w:rFonts w:ascii="Times New Roman" w:cs="方正仿宋_GBK" w:hAnsi="Times New Roman"/>
          <w:szCs w:val="32"/>
        </w:rPr>
        <w:t xml:space="preserve">    </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重庆市江津区</w:t>
      </w:r>
      <w:r>
        <w:rPr>
          <w:rFonts w:ascii="Times New Roman" w:eastAsia="方正仿宋_GBK" w:cs="Times New Roman" w:hAnsi="Times New Roman"/>
          <w:sz w:val="32"/>
          <w:szCs w:val="32"/>
        </w:rPr>
        <w:t>医疗保障</w:t>
      </w:r>
      <w:r>
        <w:rPr>
          <w:rFonts w:ascii="Times New Roman" w:eastAsia="方正仿宋_GBK" w:cs="Times New Roman" w:hAnsi="Times New Roman" w:hint="eastAsia"/>
          <w:sz w:val="32"/>
          <w:szCs w:val="32"/>
        </w:rPr>
        <w:t>局</w:t>
      </w:r>
    </w:p>
    <w:p>
      <w:pPr>
        <w:tabs>
          <w:tab w:val="left" w:pos="7535"/>
        </w:tabs>
        <w:spacing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202</w:t>
      </w:r>
      <w:r>
        <w:rPr>
          <w:rFonts w:ascii="Times New Roman" w:eastAsia="方正仿宋_GBK" w:cs="Times New Roman" w:hAnsi="Times New Roman"/>
          <w:sz w:val="32"/>
          <w:szCs w:val="32"/>
        </w:rPr>
        <w:t>3</w:t>
      </w:r>
      <w:r>
        <w:rPr>
          <w:rFonts w:ascii="Times New Roman" w:eastAsia="方正仿宋_GBK" w:cs="Times New Roman" w:hAnsi="Times New Roman" w:hint="eastAsia"/>
          <w:sz w:val="32"/>
          <w:szCs w:val="32"/>
        </w:rPr>
        <w:t>年</w:t>
      </w:r>
      <w:r>
        <w:rPr>
          <w:rFonts w:ascii="Times New Roman" w:eastAsia="方正仿宋_GBK" w:cs="Times New Roman" w:hAnsi="Times New Roman"/>
          <w:sz w:val="32"/>
          <w:szCs w:val="32"/>
        </w:rPr>
        <w:t>3</w:t>
      </w:r>
      <w:r>
        <w:rPr>
          <w:rFonts w:ascii="Times New Roman" w:eastAsia="方正仿宋_GBK" w:cs="Times New Roman" w:hAnsi="Times New Roman" w:hint="eastAsia"/>
          <w:sz w:val="32"/>
          <w:szCs w:val="32"/>
        </w:rPr>
        <w:t>月</w:t>
      </w:r>
      <w:r>
        <w:rPr>
          <w:rFonts w:ascii="Times New Roman" w:eastAsia="方正仿宋_GBK" w:cs="Times New Roman" w:hAnsi="Times New Roman"/>
          <w:sz w:val="32"/>
          <w:szCs w:val="32"/>
        </w:rPr>
        <w:t>17</w:t>
      </w:r>
      <w:r>
        <w:rPr>
          <w:rFonts w:ascii="Times New Roman" w:eastAsia="方正仿宋_GBK" w:cs="Times New Roman" w:hAnsi="Times New Roman" w:hint="eastAsia"/>
          <w:sz w:val="32"/>
          <w:szCs w:val="32"/>
        </w:rPr>
        <w:t>日</w:t>
      </w:r>
    </w:p>
    <w:p>
      <w:pPr>
        <w:tabs>
          <w:tab w:val="left" w:pos="735"/>
        </w:tabs>
        <w:adjustRightInd w:val="0"/>
        <w:snapToGrid w:val="0"/>
        <w:spacing w:line="600" w:lineRule="exact"/>
        <w:ind w:left="0" w:firstLineChars="150" w:firstLine="480"/>
        <w:rPr>
          <w:rFonts w:ascii="Times New Roman" w:eastAsia="方正仿宋_GBK" w:cs="Times New Roman" w:hAnsi="Times New Roman"/>
          <w:sz w:val="32"/>
          <w:szCs w:val="32"/>
        </w:rPr>
      </w:pPr>
      <w:r>
        <w:rPr>
          <w:rFonts w:ascii="Times New Roman" w:eastAsia="方正仿宋_GBK" w:cs="方正仿宋_GBK" w:hAnsi="Times New Roman" w:hint="eastAsia"/>
          <w:kern w:val="0"/>
          <w:sz w:val="32"/>
          <w:szCs w:val="32"/>
          <w:shd w:val="clear" w:color="auto" w:fill="FFFFFF"/>
          <w:lang w:val="en-US" w:eastAsia="zh-CN" w:bidi="ar-SA"/>
        </w:rPr>
        <w:t>（此件公开发布）</w:t>
      </w:r>
    </w:p>
    <w:p>
      <w:pPr>
        <w:spacing w:line="600" w:lineRule="exact"/>
        <w:ind w:left="0"/>
        <w:rPr>
          <w:rFonts w:ascii="Times New Roman" w:eastAsia="方正仿宋_GBK" w:cs="方正仿宋_GBK" w:hAnsi="Times New Roman" w:hint="eastAsia"/>
          <w:spacing w:val="8"/>
          <w:sz w:val="32"/>
          <w:szCs w:val="32"/>
        </w:rPr>
      </w:pPr>
    </w:p>
    <w:p>
      <w:pPr>
        <w:keepNext w:val="0"/>
        <w:keepLines w:val="0"/>
        <w:pageBreakBefore w:val="0"/>
        <w:widowControl w:val="0"/>
        <w:kinsoku/>
        <w:wordWrap/>
        <w:overflowPunct/>
        <w:topLinePunct w:val="0"/>
        <w:autoSpaceDE/>
        <w:autoSpaceDN/>
        <w:adjustRightInd/>
        <w:snapToGrid/>
        <w:spacing w:line="600" w:lineRule="exact"/>
        <w:rPr>
          <w:rFonts w:ascii="Times New Roman" w:eastAsia="黑体" w:cs="黑体" w:hAnsi="Times New Roman"/>
          <w:color w:val="333333"/>
          <w:sz w:val="32"/>
          <w:szCs w:val="32"/>
          <w:shd w:val="clear" w:color="auto" w:fill="FFFFFF"/>
        </w:rPr>
      </w:pPr>
    </w:p>
    <w:p>
      <w:pPr>
        <w:keepNext w:val="0"/>
        <w:keepLines w:val="0"/>
        <w:pageBreakBefore w:val="0"/>
        <w:widowControl w:val="0"/>
        <w:kinsoku/>
        <w:wordWrap/>
        <w:overflowPunct/>
        <w:topLinePunct w:val="0"/>
        <w:autoSpaceDE/>
        <w:autoSpaceDN/>
        <w:adjustRightInd/>
        <w:snapToGrid/>
        <w:spacing w:line="600" w:lineRule="exact"/>
        <w:rPr>
          <w:rFonts w:ascii="Times New Roman" w:eastAsia="黑体" w:cs="黑体" w:hAnsi="Times New Roman"/>
          <w:color w:val="333333"/>
          <w:sz w:val="32"/>
          <w:szCs w:val="32"/>
          <w:shd w:val="clear" w:color="auto" w:fill="FFFFFF"/>
        </w:rPr>
      </w:pPr>
    </w:p>
    <w:p>
      <w:pPr>
        <w:pageBreakBefore w:val="0"/>
        <w:widowControl w:val="0"/>
        <w:shd w:val="clear" w:color="auto" w:fill="FFFFFF"/>
        <w:kinsoku/>
        <w:wordWrap/>
        <w:overflowPunct/>
        <w:topLinePunct w:val="0"/>
        <w:autoSpaceDE/>
        <w:autoSpaceDN/>
        <w:bidi w:val="0"/>
        <w:spacing w:line="600" w:lineRule="exact"/>
        <w:ind w:left="0" w:firstLineChars="200" w:firstLine="880"/>
        <w:jc w:val="center"/>
        <w:textAlignment w:val="auto"/>
        <w:rPr>
          <w:rFonts w:ascii="Times New Roman" w:eastAsia="方正小标宋_GBK" w:cs="宋体" w:hAnsi="Times New Roman"/>
          <w:color w:val="000000"/>
          <w:kern w:val="32"/>
          <w:sz w:val="44"/>
          <w:szCs w:val="44"/>
          <w:lang w:eastAsia="zh-CN" w:bidi="ar-SA"/>
        </w:rPr>
      </w:pPr>
    </w:p>
    <w:p>
      <w:pPr>
        <w:pageBreakBefore w:val="0"/>
        <w:widowControl w:val="0"/>
        <w:shd w:val="clear" w:color="auto" w:fill="FFFFFF"/>
        <w:kinsoku/>
        <w:wordWrap/>
        <w:overflowPunct/>
        <w:topLinePunct w:val="0"/>
        <w:autoSpaceDE/>
        <w:autoSpaceDN/>
        <w:bidi w:val="0"/>
        <w:spacing w:line="600" w:lineRule="exact"/>
        <w:ind w:left="0" w:firstLineChars="200" w:firstLine="880"/>
        <w:jc w:val="center"/>
        <w:textAlignment w:val="auto"/>
        <w:rPr>
          <w:rFonts w:ascii="Times New Roman" w:eastAsia="方正小标宋_GBK" w:cs="宋体" w:hAnsi="Times New Roman"/>
          <w:color w:val="000000"/>
          <w:kern w:val="32"/>
          <w:sz w:val="44"/>
          <w:szCs w:val="44"/>
          <w:lang w:eastAsia="zh-CN" w:bidi="ar-SA"/>
        </w:rPr>
      </w:pPr>
    </w:p>
    <w:p>
      <w:pPr>
        <w:pageBreakBefore w:val="0"/>
        <w:widowControl w:val="0"/>
        <w:shd w:val="clear" w:color="auto" w:fill="FFFFFF"/>
        <w:kinsoku/>
        <w:wordWrap/>
        <w:overflowPunct/>
        <w:topLinePunct w:val="0"/>
        <w:autoSpaceDE/>
        <w:autoSpaceDN/>
        <w:bidi w:val="0"/>
        <w:spacing w:line="600" w:lineRule="exact"/>
        <w:ind w:left="0" w:firstLineChars="200" w:firstLine="880"/>
        <w:jc w:val="center"/>
        <w:textAlignment w:val="auto"/>
        <w:rPr>
          <w:rFonts w:ascii="Times New Roman" w:eastAsia="方正小标宋_GBK" w:cs="宋体" w:hAnsi="Times New Roman"/>
          <w:color w:val="000000"/>
          <w:kern w:val="32"/>
          <w:sz w:val="44"/>
          <w:szCs w:val="44"/>
          <w:lang w:eastAsia="zh-CN" w:bidi="ar-SA"/>
        </w:rPr>
      </w:pPr>
    </w:p>
    <w:p>
      <w:pPr>
        <w:pStyle w:val="16"/>
        <w:tabs>
          <w:tab w:val="clear" w:pos="4153"/>
          <w:tab w:val="clear" w:pos="8306"/>
          <w:tab w:val="center" w:pos="4153"/>
          <w:tab w:val="right" w:pos="8306"/>
        </w:tabs>
        <w:spacing w:line="600" w:lineRule="exact"/>
        <w:ind w:left="0" w:firstLineChars="200" w:firstLine="360"/>
        <w:jc w:val="both"/>
        <w:rPr>
          <w:rFonts w:ascii="Times New Roman" w:hAnsi="Times New Roman" w:hint="eastAsia"/>
          <w:lang w:eastAsia="zh-CN"/>
        </w:rPr>
      </w:pPr>
    </w:p>
    <w:p>
      <w:pPr>
        <w:keepNext w:val="0"/>
        <w:keepLines w:val="0"/>
        <w:pageBreakBefore w:val="0"/>
        <w:widowControl w:val="0"/>
        <w:kinsoku/>
        <w:wordWrap/>
        <w:overflowPunct/>
        <w:topLinePunct w:val="0"/>
        <w:autoSpaceDE/>
        <w:autoSpaceDN/>
        <w:adjustRightInd/>
        <w:snapToGrid/>
        <w:spacing w:line="600" w:lineRule="exact"/>
        <w:rPr>
          <w:rFonts w:ascii="Times New Roman" w:eastAsia="黑体" w:cs="黑体" w:hAnsi="Times New Roman"/>
          <w:color w:val="333333"/>
          <w:sz w:val="32"/>
          <w:szCs w:val="32"/>
          <w:shd w:val="clear" w:color="auto" w:fill="FFFFFF"/>
        </w:rPr>
      </w:pPr>
    </w:p>
    <w:p>
      <w:pPr>
        <w:keepNext w:val="0"/>
        <w:keepLines w:val="0"/>
        <w:pageBreakBefore w:val="0"/>
        <w:widowControl w:val="0"/>
        <w:kinsoku/>
        <w:wordWrap/>
        <w:overflowPunct/>
        <w:topLinePunct w:val="0"/>
        <w:autoSpaceDE/>
        <w:autoSpaceDN/>
        <w:adjustRightInd/>
        <w:snapToGrid/>
        <w:spacing w:line="600" w:lineRule="exact"/>
        <w:rPr>
          <w:rFonts w:ascii="Times New Roman" w:eastAsia="黑体" w:cs="黑体" w:hAnsi="Times New Roman"/>
          <w:color w:val="333333"/>
          <w:sz w:val="32"/>
          <w:szCs w:val="32"/>
          <w:shd w:val="clear" w:color="auto" w:fill="FFFFFF"/>
        </w:rPr>
      </w:pPr>
    </w:p>
    <w:p>
      <w:pPr>
        <w:keepNext w:val="0"/>
        <w:keepLines w:val="0"/>
        <w:pageBreakBefore w:val="0"/>
        <w:widowControl w:val="0"/>
        <w:kinsoku/>
        <w:wordWrap/>
        <w:overflowPunct/>
        <w:topLinePunct w:val="0"/>
        <w:autoSpaceDE/>
        <w:autoSpaceDN/>
        <w:adjustRightInd/>
        <w:snapToGrid/>
        <w:spacing w:line="600" w:lineRule="exact"/>
        <w:rPr>
          <w:rFonts w:ascii="Times New Roman" w:eastAsia="黑体" w:cs="黑体" w:hAnsi="Times New Roman"/>
          <w:color w:val="333333"/>
          <w:sz w:val="32"/>
          <w:szCs w:val="32"/>
          <w:shd w:val="clear" w:color="auto" w:fill="FFFFFF"/>
        </w:rPr>
      </w:pPr>
    </w:p>
    <w:p>
      <w:pPr>
        <w:spacing w:line="579" w:lineRule="exact"/>
        <w:rPr>
          <w:rFonts w:ascii="方正黑体_GBK" w:eastAsia="方正黑体_GBK" w:hint="eastAsia"/>
          <w:sz w:val="32"/>
          <w:szCs w:val="32"/>
        </w:rPr>
      </w:pPr>
      <w:r>
        <w:rPr>
          <w:rFonts w:ascii="方正黑体_GBK" w:eastAsia="方正黑体_GBK" w:hint="eastAsia"/>
          <w:sz w:val="32"/>
          <w:szCs w:val="32"/>
        </w:rPr>
        <w:t>附件</w:t>
      </w:r>
    </w:p>
    <w:p>
      <w:pPr>
        <w:jc w:val="center"/>
        <w:rPr>
          <w:rFonts w:ascii="方正仿宋_GBK" w:eastAsia="方正仿宋_GBK" w:hint="eastAsia"/>
          <w:sz w:val="32"/>
          <w:szCs w:val="32"/>
        </w:rPr>
      </w:pPr>
    </w:p>
    <w:p>
      <w:pPr>
        <w:snapToGrid w:val="0"/>
        <w:spacing w:line="579" w:lineRule="exact"/>
        <w:jc w:val="center"/>
        <w:rPr>
          <w:rFonts w:ascii="方正小标宋_GBK" w:eastAsia="方正小标宋_GBK" w:hint="eastAsia"/>
          <w:sz w:val="44"/>
          <w:szCs w:val="44"/>
        </w:rPr>
      </w:pPr>
      <w:r>
        <w:rPr>
          <w:rFonts w:ascii="方正小标宋_GBK" w:eastAsia="方正小标宋_GBK" w:hint="eastAsia"/>
          <w:sz w:val="44"/>
          <w:szCs w:val="44"/>
        </w:rPr>
        <w:t>江津区公立医疗机构药品配送企业情况表</w:t>
      </w:r>
    </w:p>
    <w:p>
      <w:pPr>
        <w:snapToGrid w:val="0"/>
        <w:spacing w:line="579" w:lineRule="exact"/>
        <w:jc w:val="center"/>
        <w:rPr>
          <w:rFonts w:ascii="方正仿宋_GBK" w:eastAsia="方正仿宋_GBK" w:hint="eastAsia"/>
          <w:sz w:val="32"/>
          <w:szCs w:val="32"/>
        </w:rPr>
      </w:pPr>
    </w:p>
    <w:p>
      <w:pPr>
        <w:snapToGrid w:val="0"/>
        <w:spacing w:line="579" w:lineRule="exact"/>
        <w:rPr>
          <w:rFonts w:ascii="方正仿宋_GBK" w:eastAsia="方正仿宋_GBK" w:hint="eastAsia"/>
          <w:sz w:val="32"/>
          <w:szCs w:val="32"/>
        </w:rPr>
      </w:pPr>
      <w:r>
        <w:rPr>
          <w:rFonts w:ascii="方正仿宋_GBK" w:eastAsia="方正仿宋_GBK" w:hint="eastAsia"/>
          <w:sz w:val="32"/>
          <w:szCs w:val="32"/>
        </w:rPr>
        <w:t>医疗机构名称：（公章）</w:t>
      </w:r>
    </w:p>
    <w:tbl>
      <w:tblPr>
        <w:jc w:val="left"/>
        <w:tblInd w:w="108" w:type="dxa"/>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1"/>
        <w:gridCol w:w="2410"/>
        <w:gridCol w:w="1417"/>
        <w:gridCol w:w="1559"/>
        <w:gridCol w:w="1418"/>
        <w:gridCol w:w="1559"/>
      </w:tblGrid>
      <w:tr>
        <w:trPr>
          <w:trHeight w:val="682"/>
        </w:trPr>
        <w:tc>
          <w:tcPr>
            <w:tcW w:w="851" w:type="dxa"/>
            <w:tcBorders>
              <w:tl2br w:val="nil"/>
              <w:tr2bl w:val="nil"/>
            </w:tcBorders>
            <w:vAlign w:val="center"/>
          </w:tcPr>
          <w:p>
            <w:pPr>
              <w:snapToGrid w:val="0"/>
              <w:jc w:val="center"/>
              <w:rPr>
                <w:rFonts w:ascii="方正仿宋_GBK" w:eastAsia="方正仿宋_GBK" w:hint="eastAsia"/>
                <w:sz w:val="32"/>
                <w:szCs w:val="32"/>
              </w:rPr>
            </w:pPr>
            <w:r>
              <w:rPr>
                <w:rFonts w:ascii="方正仿宋_GBK" w:eastAsia="方正仿宋_GBK" w:hint="eastAsia"/>
                <w:sz w:val="32"/>
                <w:szCs w:val="32"/>
              </w:rPr>
              <w:t>序号</w:t>
            </w:r>
          </w:p>
        </w:tc>
        <w:tc>
          <w:tcPr>
            <w:tcW w:w="2410" w:type="dxa"/>
            <w:tcBorders>
              <w:tl2br w:val="nil"/>
              <w:tr2bl w:val="nil"/>
            </w:tcBorders>
            <w:vAlign w:val="center"/>
          </w:tcPr>
          <w:p>
            <w:pPr>
              <w:snapToGrid w:val="0"/>
              <w:jc w:val="center"/>
              <w:rPr>
                <w:rFonts w:ascii="方正仿宋_GBK" w:eastAsia="方正仿宋_GBK" w:hint="eastAsia"/>
                <w:sz w:val="32"/>
                <w:szCs w:val="32"/>
              </w:rPr>
            </w:pPr>
            <w:r>
              <w:rPr>
                <w:rFonts w:ascii="方正仿宋_GBK" w:eastAsia="方正仿宋_GBK" w:hint="eastAsia"/>
                <w:sz w:val="32"/>
                <w:szCs w:val="32"/>
              </w:rPr>
              <w:t>配送企业名称</w:t>
            </w:r>
          </w:p>
        </w:tc>
        <w:tc>
          <w:tcPr>
            <w:tcW w:w="1417" w:type="dxa"/>
            <w:tcBorders>
              <w:tl2br w:val="nil"/>
              <w:tr2bl w:val="nil"/>
            </w:tcBorders>
            <w:vAlign w:val="center"/>
          </w:tcPr>
          <w:p>
            <w:pPr>
              <w:snapToGrid w:val="0"/>
              <w:jc w:val="center"/>
              <w:rPr>
                <w:rFonts w:ascii="方正仿宋_GBK" w:eastAsia="方正仿宋_GBK" w:hint="eastAsia"/>
                <w:sz w:val="32"/>
                <w:szCs w:val="32"/>
              </w:rPr>
            </w:pPr>
            <w:r>
              <w:rPr>
                <w:rFonts w:ascii="方正仿宋_GBK" w:eastAsia="方正仿宋_GBK" w:hint="eastAsia"/>
                <w:sz w:val="32"/>
                <w:szCs w:val="32"/>
              </w:rPr>
              <w:t>配送药品品规数量</w:t>
            </w:r>
          </w:p>
        </w:tc>
        <w:tc>
          <w:tcPr>
            <w:tcW w:w="1559" w:type="dxa"/>
            <w:tcBorders>
              <w:tl2br w:val="nil"/>
              <w:tr2bl w:val="nil"/>
            </w:tcBorders>
            <w:vAlign w:val="center"/>
          </w:tcPr>
          <w:p>
            <w:pPr>
              <w:snapToGrid w:val="0"/>
              <w:jc w:val="center"/>
              <w:rPr>
                <w:rFonts w:ascii="方正仿宋_GBK" w:eastAsia="方正仿宋_GBK" w:hint="eastAsia"/>
                <w:sz w:val="32"/>
                <w:szCs w:val="32"/>
              </w:rPr>
            </w:pPr>
            <w:r>
              <w:rPr>
                <w:rFonts w:ascii="方正仿宋_GBK" w:eastAsia="方正仿宋_GBK" w:hint="eastAsia"/>
                <w:sz w:val="32"/>
                <w:szCs w:val="32"/>
              </w:rPr>
              <w:t>上年度药品配送总金额</w:t>
            </w:r>
          </w:p>
        </w:tc>
        <w:tc>
          <w:tcPr>
            <w:tcW w:w="1418" w:type="dxa"/>
            <w:tcBorders>
              <w:tl2br w:val="nil"/>
              <w:tr2bl w:val="nil"/>
            </w:tcBorders>
            <w:vAlign w:val="center"/>
          </w:tcPr>
          <w:p>
            <w:pPr>
              <w:snapToGrid w:val="0"/>
              <w:jc w:val="center"/>
              <w:rPr>
                <w:rFonts w:ascii="方正仿宋_GBK" w:eastAsia="方正仿宋_GBK" w:hint="eastAsia"/>
                <w:sz w:val="32"/>
                <w:szCs w:val="32"/>
              </w:rPr>
            </w:pPr>
            <w:r>
              <w:rPr>
                <w:rFonts w:ascii="方正仿宋_GBK" w:eastAsia="方正仿宋_GBK" w:hint="eastAsia"/>
                <w:sz w:val="32"/>
                <w:szCs w:val="32"/>
              </w:rPr>
              <w:t>配送企业联系人</w:t>
            </w:r>
          </w:p>
        </w:tc>
        <w:tc>
          <w:tcPr>
            <w:tcW w:w="1559" w:type="dxa"/>
            <w:tcBorders>
              <w:tl2br w:val="nil"/>
              <w:tr2bl w:val="nil"/>
            </w:tcBorders>
            <w:vAlign w:val="center"/>
          </w:tcPr>
          <w:p>
            <w:pPr>
              <w:snapToGrid w:val="0"/>
              <w:jc w:val="center"/>
              <w:rPr>
                <w:rFonts w:ascii="方正仿宋_GBK" w:eastAsia="方正仿宋_GBK" w:hint="eastAsia"/>
                <w:sz w:val="32"/>
                <w:szCs w:val="32"/>
              </w:rPr>
            </w:pPr>
            <w:r>
              <w:rPr>
                <w:rFonts w:ascii="方正仿宋_GBK" w:eastAsia="方正仿宋_GBK" w:hint="eastAsia"/>
                <w:sz w:val="32"/>
                <w:szCs w:val="32"/>
              </w:rPr>
              <w:t>配送企业</w:t>
            </w:r>
          </w:p>
          <w:p>
            <w:pPr>
              <w:snapToGrid w:val="0"/>
              <w:jc w:val="center"/>
              <w:rPr>
                <w:rFonts w:ascii="方正仿宋_GBK" w:eastAsia="方正仿宋_GBK" w:hint="eastAsia"/>
                <w:sz w:val="32"/>
                <w:szCs w:val="32"/>
              </w:rPr>
            </w:pPr>
            <w:r>
              <w:rPr>
                <w:rFonts w:ascii="方正仿宋_GBK" w:eastAsia="方正仿宋_GBK" w:hint="eastAsia"/>
                <w:sz w:val="32"/>
                <w:szCs w:val="32"/>
              </w:rPr>
              <w:t>联系电话</w:t>
            </w:r>
          </w:p>
        </w:tc>
      </w:tr>
      <w:tr>
        <w:trPr>
          <w:trHeight w:val="905"/>
        </w:trPr>
        <w:tc>
          <w:tcPr>
            <w:tcW w:w="851"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2410"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417"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559"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418"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559" w:type="dxa"/>
            <w:tcBorders>
              <w:tl2br w:val="nil"/>
              <w:tr2bl w:val="nil"/>
            </w:tcBorders>
            <w:vAlign w:val="center"/>
          </w:tcPr>
          <w:p>
            <w:pPr>
              <w:snapToGrid w:val="0"/>
              <w:spacing w:line="579" w:lineRule="exact"/>
              <w:rPr>
                <w:rFonts w:ascii="方正仿宋_GBK" w:eastAsia="方正仿宋_GBK" w:hint="eastAsia"/>
                <w:sz w:val="32"/>
                <w:szCs w:val="32"/>
              </w:rPr>
            </w:pPr>
          </w:p>
        </w:tc>
      </w:tr>
      <w:tr>
        <w:trPr>
          <w:trHeight w:val="905"/>
        </w:trPr>
        <w:tc>
          <w:tcPr>
            <w:tcW w:w="851"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2410"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417"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559"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418"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559" w:type="dxa"/>
            <w:tcBorders>
              <w:tl2br w:val="nil"/>
              <w:tr2bl w:val="nil"/>
            </w:tcBorders>
            <w:vAlign w:val="center"/>
          </w:tcPr>
          <w:p>
            <w:pPr>
              <w:snapToGrid w:val="0"/>
              <w:spacing w:line="579" w:lineRule="exact"/>
              <w:rPr>
                <w:rFonts w:ascii="方正仿宋_GBK" w:eastAsia="方正仿宋_GBK" w:hint="eastAsia"/>
                <w:sz w:val="32"/>
                <w:szCs w:val="32"/>
              </w:rPr>
            </w:pPr>
          </w:p>
        </w:tc>
      </w:tr>
      <w:tr>
        <w:trPr>
          <w:trHeight w:val="905"/>
        </w:trPr>
        <w:tc>
          <w:tcPr>
            <w:tcW w:w="851"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2410"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417"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559"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418"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559" w:type="dxa"/>
            <w:tcBorders>
              <w:tl2br w:val="nil"/>
              <w:tr2bl w:val="nil"/>
            </w:tcBorders>
            <w:vAlign w:val="center"/>
          </w:tcPr>
          <w:p>
            <w:pPr>
              <w:snapToGrid w:val="0"/>
              <w:spacing w:line="579" w:lineRule="exact"/>
              <w:rPr>
                <w:rFonts w:ascii="方正仿宋_GBK" w:eastAsia="方正仿宋_GBK" w:hint="eastAsia"/>
                <w:sz w:val="32"/>
                <w:szCs w:val="32"/>
              </w:rPr>
            </w:pPr>
          </w:p>
        </w:tc>
      </w:tr>
      <w:tr>
        <w:trPr>
          <w:trHeight w:val="905"/>
        </w:trPr>
        <w:tc>
          <w:tcPr>
            <w:tcW w:w="851"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2410"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417"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559"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418"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559" w:type="dxa"/>
            <w:tcBorders>
              <w:tl2br w:val="nil"/>
              <w:tr2bl w:val="nil"/>
            </w:tcBorders>
            <w:vAlign w:val="center"/>
          </w:tcPr>
          <w:p>
            <w:pPr>
              <w:snapToGrid w:val="0"/>
              <w:spacing w:line="579" w:lineRule="exact"/>
              <w:rPr>
                <w:rFonts w:ascii="方正仿宋_GBK" w:eastAsia="方正仿宋_GBK" w:hint="eastAsia"/>
                <w:sz w:val="32"/>
                <w:szCs w:val="32"/>
              </w:rPr>
            </w:pPr>
          </w:p>
        </w:tc>
      </w:tr>
      <w:tr>
        <w:trPr>
          <w:trHeight w:val="905"/>
        </w:trPr>
        <w:tc>
          <w:tcPr>
            <w:tcW w:w="851"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2410"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417"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559"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418" w:type="dxa"/>
            <w:tcBorders>
              <w:tl2br w:val="nil"/>
              <w:tr2bl w:val="nil"/>
            </w:tcBorders>
            <w:vAlign w:val="center"/>
          </w:tcPr>
          <w:p>
            <w:pPr>
              <w:snapToGrid w:val="0"/>
              <w:spacing w:line="579" w:lineRule="exact"/>
              <w:rPr>
                <w:rFonts w:ascii="方正仿宋_GBK" w:eastAsia="方正仿宋_GBK" w:hint="eastAsia"/>
                <w:sz w:val="32"/>
                <w:szCs w:val="32"/>
              </w:rPr>
            </w:pPr>
          </w:p>
        </w:tc>
        <w:tc>
          <w:tcPr>
            <w:tcW w:w="1559" w:type="dxa"/>
            <w:tcBorders>
              <w:tl2br w:val="nil"/>
              <w:tr2bl w:val="nil"/>
            </w:tcBorders>
            <w:vAlign w:val="center"/>
          </w:tcPr>
          <w:p>
            <w:pPr>
              <w:snapToGrid w:val="0"/>
              <w:spacing w:line="579" w:lineRule="exact"/>
              <w:rPr>
                <w:rFonts w:ascii="方正仿宋_GBK" w:eastAsia="方正仿宋_GBK" w:hint="eastAsia"/>
                <w:sz w:val="32"/>
                <w:szCs w:val="32"/>
              </w:rPr>
            </w:pPr>
          </w:p>
        </w:tc>
      </w:tr>
    </w:tbl>
    <w:p>
      <w:pPr>
        <w:snapToGrid w:val="0"/>
        <w:spacing w:beforeLines="50" w:before="158" w:line="579" w:lineRule="exact"/>
        <w:rPr>
          <w:rFonts w:ascii="方正仿宋_GBK" w:eastAsia="方正仿宋_GBK" w:hint="eastAsia"/>
          <w:sz w:val="32"/>
          <w:szCs w:val="32"/>
        </w:rPr>
      </w:pPr>
      <w:r>
        <w:rPr>
          <w:rFonts w:ascii="方正仿宋_GBK" w:eastAsia="方正仿宋_GBK" w:hint="eastAsia"/>
          <w:sz w:val="32"/>
          <w:szCs w:val="32"/>
        </w:rPr>
        <w:t>填报人：           联系电话：          填报时间：</w:t>
      </w:r>
    </w:p>
    <w:p>
      <w:pPr>
        <w:keepNext w:val="0"/>
        <w:keepLines w:val="0"/>
        <w:pageBreakBefore w:val="0"/>
        <w:widowControl w:val="0"/>
        <w:kinsoku/>
        <w:wordWrap/>
        <w:overflowPunct/>
        <w:topLinePunct w:val="0"/>
        <w:autoSpaceDE/>
        <w:autoSpaceDN/>
        <w:adjustRightInd/>
        <w:snapToGrid/>
        <w:spacing w:line="600" w:lineRule="exact"/>
        <w:rPr>
          <w:rFonts w:ascii="Times New Roman" w:eastAsia="黑体" w:cs="黑体" w:hAnsi="Times New Roman" w:hint="eastAsia"/>
          <w:color w:val="333333"/>
          <w:sz w:val="32"/>
          <w:szCs w:val="32"/>
          <w:shd w:val="clear" w:color="auto" w:fill="FFFFFF"/>
        </w:rPr>
      </w:pPr>
    </w:p>
    <w:sectPr>
      <w:headerReference w:type="default" r:id="rId2"/>
      <w:footerReference w:type="default" r:id="rId3"/>
      <w:type w:val="continuous"/>
      <w:pgSz w:w="11907" w:h="16840"/>
      <w:pgMar w:top="1962" w:right="1474" w:bottom="1848" w:left="1588" w:header="851"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auto"/>
    <w:pitch w:val="variable"/>
    <w:sig w:usb0="00000001" w:usb1="080E0000" w:usb2="00000000" w:usb3="00000000" w:csb0="00040000" w:csb1="00000000"/>
  </w:font>
  <w:font w:name="Times New Roman">
    <w:panose1 w:val="02020603050405020304"/>
    <w:charset w:val="01"/>
    <w:family w:val="roman"/>
    <w:pitch w:val="variable"/>
    <w:sig w:usb0="E0002EFF" w:usb1="C000785B" w:usb2="00000009" w:usb3="00000000" w:csb0="400001FF" w:csb1="FFFF0000"/>
  </w:font>
  <w:font w:name="方正黑体_GBK">
    <w:panose1 w:val="03000509000000000000"/>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仿宋_GB2312">
    <w:altName w:val="仿宋"/>
    <w:panose1 w:val="02010609030101010101"/>
    <w:charset w:val="86"/>
    <w:family w:val="modern"/>
    <w:pitch w:val="variable"/>
    <w:sig w:usb0="00000000" w:usb1="080E0000" w:usb2="00000010" w:usb3="00000000" w:csb0="00040000" w:csb1="00000000"/>
  </w:font>
  <w:font w:name="方正仿宋简体">
    <w:altName w:val="宋体"/>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ind w:leftChars="2280" w:left="4788" w:firstLineChars="2000" w:firstLine="6400"/>
      <w:rPr>
        <w:sz w:val="32"/>
      </w:rPr>
    </w:pPr>
    <w:r>
      <w:rPr>
        <w:sz w:val="32"/>
      </w:rPr>
      <mc:AlternateContent>
        <mc:Choice Requires="wps">
          <w:drawing>
            <wp:anchor distT="0" distB="0" distL="91438" distR="91438" simplePos="0" relativeHeight="16" behindDoc="0" locked="0" layoutInCell="1" hidden="0" allowOverlap="1">
              <wp:simplePos x="0" y="0"/>
              <wp:positionH relativeFrom="margin">
                <wp:align>outside</wp:align>
              </wp:positionH>
              <wp:positionV relativeFrom="paragraph">
                <wp:posOffset>0</wp:posOffset>
              </wp:positionV>
              <wp:extent cx="444499" cy="230251"/>
              <wp:effectExtent l="0" t="0" r="0" b="0"/>
              <wp:wrapNone/>
              <wp:docPr id="6" name="文本框 6"/>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7">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8" o:spid="_x0000_s8" filled="f" stroked="f" strokeweight="0.5pt" style="position:absolute;margin-left:253.60112pt;margin-top:0.0pt;width:34.999985pt;height:18.130003pt;z-index:16;mso-position-horizontal:outside;mso-position-horizontal-relative:margin;mso-position-vertical:absolute;mso-wrap-distance-left:7.19989pt;mso-wrap-distance-right:7.19989pt;mso-wrap-style:none;">
              <v:stroke color="#000000"/>
              <v:textbox id="849" inset="0mm,0mm,0mm,0mm" o:insetmode="custom" style="layout-flow:horizontal;v-text-anchor:top;mso-fit-shape-to-text:t;">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v:textbox>
            </v:shape>
          </w:pict>
        </mc:Fallback>
      </mc:AlternateContent>
    </w:r>
  </w:p>
  <w:p>
    <w:pPr>
      <w:pStyle w:val="17"/>
      <w:tabs>
        <w:tab w:val="center" w:pos="4153"/>
        <w:tab w:val="right" w:pos="8306"/>
      </w:tabs>
      <w:ind w:leftChars="2280" w:left="4788" w:firstLineChars="2000" w:firstLine="6400"/>
      <w:rPr>
        <w:sz w:val="32"/>
      </w:rPr>
    </w:pPr>
    <w:r>
      <w:rPr>
        <w:color w:val="FAFAFA"/>
        <w:sz w:val="32"/>
      </w:rPr>
      <mc:AlternateContent>
        <mc:Choice Requires="wps">
          <w:drawing>
            <wp:anchor distT="0" distB="0" distL="91438" distR="91438" simplePos="0" relativeHeight="15" behindDoc="0" locked="0" layoutInCell="1" hidden="0" allowOverlap="1">
              <wp:simplePos x="0" y="0"/>
              <wp:positionH relativeFrom="column">
                <wp:posOffset>-63435</wp:posOffset>
              </wp:positionH>
              <wp:positionV relativeFrom="paragraph">
                <wp:posOffset>158493</wp:posOffset>
              </wp:positionV>
              <wp:extent cx="5732136" cy="0"/>
              <wp:effectExtent l="0" t="0" r="0" b="0"/>
              <wp:wrapNone/>
              <wp:docPr id="9" name="直线 9"/>
              <wp:cNvGraphicFramePr>
                <a:graphicFrameLocks noChangeAspect="0"/>
              </wp:cNvGraphicFramePr>
              <a:graphic>
                <a:graphicData uri="http://schemas.microsoft.com/office/word/2010/wordprocessingShape">
                  <wps:wsp>
                    <wps:cNvSpPr/>
                    <wps:spPr>
                      <a:xfrm flipV="1" rot="21600000">
                        <a:off x="0" y="0"/>
                        <a:ext cx="5732136" cy="0"/>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线 10" o:spid="_x0000_s10" from="-4.9949265pt,12.479821pt" to="446.35437pt,12.479821pt" filled="f" stroked="t" strokeweight="1.75pt" style="position:absolute;flip:y;z-index:15;mso-position-horizontal:absolute;mso-position-vertical:absolute;mso-wrap-distance-left:7.19989pt;mso-wrap-distance-right:7.19989pt;">
              <v:stroke color="#005192"/>
            </v:line>
          </w:pict>
        </mc:Fallback>
      </mc:AlternateContent>
    </w:r>
  </w:p>
  <w:p>
    <w:pPr>
      <w:pStyle w:val="17"/>
      <w:tabs>
        <w:tab w:val="center" w:pos="4153"/>
        <w:tab w:val="right" w:pos="8306"/>
      </w:tabs>
      <w:wordWrap w:val="0"/>
      <w:jc w:val="right"/>
      <w:rPr>
        <w:rFonts w:ascii="宋体" w:eastAsia="宋体" w:cs="宋体" w:hint="eastAsia"/>
        <w:b/>
        <w:bCs/>
        <w:color w:val="005192"/>
        <w:sz w:val="28"/>
        <w:szCs w:val="44"/>
        <w:lang w:val="en-US" w:eastAsia="zh-CN"/>
      </w:rPr>
    </w:pPr>
    <w:r>
      <w:rPr>
        <w:rFonts w:ascii="宋体" w:eastAsia="宋体" w:cs="宋体"/>
        <w:b/>
        <w:bCs/>
        <w:color w:val="005192"/>
        <w:sz w:val="28"/>
        <w:szCs w:val="44"/>
      </w:rPr>
      <w:t>重庆市江津区医疗保障局发布</w:t>
    </w:r>
    <w:r>
      <w:rPr>
        <w:rFonts w:ascii="宋体" w:eastAsia="宋体" w:cs="宋体"/>
        <w:b/>
        <w:bCs/>
        <w:color w:val="005192"/>
        <w:sz w:val="28"/>
        <w:szCs w:val="44"/>
        <w:lang w:eastAsia="zh-CN"/>
      </w:rP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keepNext w:val="0"/>
      <w:keepLines w:val="0"/>
      <w:pageBreakBefore w:val="0"/>
      <w:widowControl w:val="0"/>
      <w:tabs>
        <w:tab w:val="center" w:pos="4153"/>
        <w:tab w:val="right" w:pos="8306"/>
      </w:tabs>
      <w:kinsoku/>
      <w:wordWrap/>
      <w:overflowPunct/>
      <w:topLinePunct w:val="0"/>
      <w:autoSpaceDE/>
      <w:autoSpaceDN/>
      <w:bidi w:val="0"/>
      <w:adjustRightInd/>
      <w:snapToGrid w:val="0"/>
      <w:textAlignment w:val="center"/>
      <w:rPr>
        <w:rFonts w:ascii="宋体" w:eastAsia="宋体" w:cs="宋体" w:hint="eastAsia"/>
        <w:b/>
        <w:bCs/>
        <w:color w:val="005192"/>
        <w:sz w:val="32"/>
        <w:szCs w:val="32"/>
        <w:lang w:val="en-US" w:eastAsia="zh-CN"/>
      </w:rPr>
    </w:pPr>
    <w:r>
      <w:rPr>
        <w:rFonts w:ascii="方正仿宋_GBK" w:eastAsia="方正仿宋_GBK" w:cs="方正仿宋_GBK" w:hint="eastAsia"/>
        <w:b/>
        <w:bCs/>
        <w:color w:val="000000"/>
        <w:sz w:val="32"/>
        <w14:textFill>
          <w14:solidFill>
            <w14:srgbClr w14:val="000000"/>
          </w14:solidFill>
        </w14:textFill>
      </w:rPr>
      <mc:AlternateContent>
        <mc:Choice Requires="wps">
          <w:drawing>
            <wp:anchor distT="0" distB="0" distL="91438" distR="91438" simplePos="0" relativeHeight="14" behindDoc="0" locked="0" layoutInCell="1" hidden="0" allowOverlap="1">
              <wp:simplePos x="0" y="0"/>
              <wp:positionH relativeFrom="column">
                <wp:posOffset>1333</wp:posOffset>
              </wp:positionH>
              <wp:positionV relativeFrom="paragraph">
                <wp:posOffset>374041</wp:posOffset>
              </wp:positionV>
              <wp:extent cx="5600700" cy="0"/>
              <wp:effectExtent l="0" t="0" r="0" b="0"/>
              <wp:wrapNone/>
              <wp:docPr id="1" name="直线 1"/>
              <wp:cNvGraphicFramePr>
                <a:graphicFrameLocks noChangeAspect="0"/>
              </wp:cNvGraphicFramePr>
              <a:graphic>
                <a:graphicData uri="http://schemas.microsoft.com/office/word/2010/wordprocessingShape">
                  <wps:wsp>
                    <wps:cNvSpPr/>
                    <wps:spPr>
                      <a:xfrm flipV="1" rot="21600000">
                        <a:off x="0" y="0"/>
                        <a:ext cx="5600700" cy="0"/>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线 2" o:spid="_x0000_s2" from="0.10499794pt,29.452051pt" to="441.105pt,29.452051pt" filled="f" stroked="t" strokeweight="1.75pt" style="position:absolute;flip:y;z-index:14;mso-position-horizontal:absolute;mso-position-vertical:absolute;mso-wrap-distance-left:7.19989pt;mso-wrap-distance-right:7.19989pt;">
              <v:stroke color="#005192"/>
            </v:line>
          </w:pict>
        </mc:Fallback>
      </mc:AlternateContent>
    </w:r>
    <w:r>
      <w:rPr>
        <w:rFonts w:ascii="宋体" w:eastAsia="宋体" w:cs="宋体" w:hint="eastAsia"/>
        <w:b/>
        <w:bCs/>
        <w:color w:val="005192"/>
        <w:sz w:val="32"/>
      </w:rPr>
      <w:drawing>
        <wp:inline distT="0" distB="0" distL="114300" distR="114300">
          <wp:extent cx="308610" cy="308610"/>
          <wp:effectExtent l="0" t="0" r="0" b="0"/>
          <wp:docPr id="3" name="图片 3" descr="国徽1024"/>
          <wp:cNvGraphicFramePr>
            <a:graphicFrameLocks noChangeAspect="1"/>
          </wp:cNvGraphicFramePr>
          <a:graphic>
            <a:graphicData uri="http://schemas.openxmlformats.org/drawingml/2006/picture">
              <pic:pic>
                <pic:nvPicPr>
                  <pic:cNvPr id="5" name="图片 5"/>
                  <pic:cNvPicPr/>
                </pic:nvPicPr>
                <pic:blipFill>
                  <a:blip r:embed="rId1"/>
                  <a:stretch>
                    <a:fillRect/>
                  </a:stretch>
                </pic:blipFill>
                <pic:spPr>
                  <a:xfrm rot="0">
                    <a:off x="0" y="0"/>
                    <a:ext cx="308610" cy="308610"/>
                  </a:xfrm>
                  <a:prstGeom prst="rect"/>
                  <a:noFill/>
                  <a:ln w="9525" cmpd="sng" cap="flat">
                    <a:noFill/>
                    <a:prstDash val="solid"/>
                    <a:miter/>
                  </a:ln>
                </pic:spPr>
              </pic:pic>
            </a:graphicData>
          </a:graphic>
        </wp:inline>
      </w:drawing>
    </w:r>
    <w:r>
      <w:rPr>
        <w:rFonts w:ascii="宋体" w:eastAsia="宋体" w:cs="宋体"/>
        <w:b/>
        <w:bCs/>
        <w:color w:val="005192"/>
        <w:sz w:val="32"/>
        <w:szCs w:val="32"/>
      </w:rPr>
      <w:t>重庆市江津区医疗保障局行政</w:t>
    </w:r>
    <w:r>
      <w:rPr>
        <w:rFonts w:ascii="宋体" w:eastAsia="宋体" w:cs="宋体" w:hint="eastAsia"/>
        <w:b/>
        <w:bCs/>
        <w:color w:val="005192"/>
        <w:sz w:val="32"/>
        <w:szCs w:val="32"/>
        <w:lang w:val="en-US"/>
      </w:rPr>
      <w:t>规范性文件</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8"/>
  <w:displayHorizontalDrawingGridEvery w:val="1"/>
  <w:displayVerticalDrawingGridEvery w:val="2"/>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4">
    <w:name w:val="heading 4"/>
    <w:basedOn w:val="0"/>
    <w:next w:val="0"/>
    <w:pPr>
      <w:keepNext/>
      <w:keepLines/>
      <w:widowControl w:val="0"/>
      <w:spacing w:before="280" w:after="290" w:line="372" w:lineRule="auto"/>
      <w:outlineLvl w:val="3"/>
    </w:pPr>
    <w:rPr>
      <w:rFonts w:ascii="Arial" w:eastAsia="黑体" w:hAnsi="Arial"/>
      <w:b/>
      <w:sz w:val="28"/>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8">
    <w:name w:val="Normal (Web)"/>
    <w:pPr>
      <w:widowControl/>
      <w:spacing w:before="100" w:beforeAutospacing="1" w:after="100" w:afterAutospacing="1"/>
      <w:jc w:val="left"/>
    </w:pPr>
    <w:rPr>
      <w:rFonts w:ascii="宋体" w:eastAsia="宋体" w:cs="宋体"/>
      <w:kern w:val="0"/>
      <w:sz w:val="24"/>
      <w:szCs w:val="24"/>
      <w:lang w:val="en-US" w:eastAsia="zh-CN" w:bidi="ar-SA"/>
    </w:rPr>
  </w:style>
  <w:style w:type="character" w:styleId="19">
    <w:name w:val="Strong"/>
    <w:basedOn w:val="10"/>
    <w:rPr>
      <w:b/>
      <w:bCs/>
    </w:rPr>
  </w:style>
  <w:style w:type="paragraph" w:customStyle="1" w:styleId="20">
    <w:name w:val="p0"/>
    <w:basedOn w:val="0"/>
    <w:pPr>
      <w:widowControl/>
    </w:pPr>
    <w:rPr>
      <w:rFonts w:ascii="Calibri" w:eastAsia="宋体" w:cs="宋体" w:hAnsi="Calibri"/>
      <w:kern w:val="0"/>
      <w:szCs w:val="32"/>
    </w:rPr>
  </w:style>
  <w:style w:type="character" w:styleId="21">
    <w:name w:val="page number"/>
    <w:basedOn w:val="10"/>
  </w:style>
  <w:style w:type="paragraph" w:styleId="22">
    <w:name w:val="Body Text"/>
    <w:next w:val="15"/>
    <w:pPr>
      <w:widowControl w:val="0"/>
      <w:ind w:leftChars="100" w:left="100" w:rightChars="100" w:right="100"/>
      <w:jc w:val="both"/>
    </w:pPr>
    <w:rPr>
      <w:rFonts w:ascii="Times New Roman" w:eastAsia="宋体" w:cs="Times New Roman" w:hAnsi="Times New Roman"/>
      <w:kern w:val="2"/>
      <w:sz w:val="21"/>
      <w:szCs w:val="24"/>
      <w:lang w:val="en-US" w:eastAsia="zh-CN" w:bidi="ar-SA"/>
    </w:rPr>
  </w:style>
  <w:style w:type="paragraph" w:styleId="23">
    <w:name w:val="Date"/>
    <w:next w:val="0"/>
    <w:pPr>
      <w:widowControl w:val="0"/>
      <w:jc w:val="both"/>
    </w:pPr>
    <w:rPr>
      <w:rFonts w:ascii="Times New Roman" w:eastAsia="仿宋_GB2312" w:cs="Times New Roman" w:hAnsi="Times New Roman"/>
      <w:kern w:val="2"/>
      <w:sz w:val="32"/>
      <w:lang w:val="en-US" w:eastAsia="zh-CN" w:bidi="ar-SA"/>
    </w:rPr>
  </w:style>
  <w:style w:type="paragraph" w:styleId="24">
    <w:name w:val="annotation subject"/>
    <w:basedOn w:val="15"/>
    <w:next w:val="15"/>
    <w:rPr>
      <w:b/>
    </w:rPr>
  </w:style>
  <w:style w:type="paragraph" w:styleId="25">
    <w:name w:val="toc 1"/>
    <w:autoRedefine/>
    <w:next w:val="0"/>
    <w:pPr>
      <w:widowControl w:val="0"/>
      <w:jc w:val="center"/>
    </w:pPr>
    <w:rPr>
      <w:rFonts w:ascii="Times New Roman" w:eastAsia="方正黑体_GBK" w:cs="Times New Roman" w:hAnsi="Times New Roman"/>
      <w:kern w:val="2"/>
      <w:sz w:val="28"/>
      <w:szCs w:val="32"/>
      <w:lang w:val="en-US" w:eastAsia="zh-CN" w:bidi="ar-SA"/>
    </w:rPr>
  </w:style>
  <w:style w:type="paragraph" w:customStyle="1" w:styleId="26">
    <w:name w:val="常用样式（方正仿宋简）"/>
    <w:next w:val="20"/>
    <w:pPr>
      <w:widowControl w:val="0"/>
      <w:spacing w:line="560" w:lineRule="exact"/>
      <w:ind w:firstLineChars="200" w:firstLine="200"/>
      <w:jc w:val="both"/>
    </w:pPr>
    <w:rPr>
      <w:rFonts w:ascii="Times New Roman" w:eastAsia="方正仿宋简体" w:cs="Times New Roman" w:hAnsi="Times New Roman"/>
      <w:kern w:val="2"/>
      <w:sz w:val="32"/>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4.png"/></Relationships>
</file>

<file path=docProps/app.xml><?xml version="1.0" encoding="utf-8"?>
<Properties xmlns="http://schemas.openxmlformats.org/officeDocument/2006/extended-properties">
  <Template>Normal.eit</Template>
  <TotalTime>198</TotalTime>
  <Application>Yozo_Office</Application>
  <Pages>5</Pages>
  <Words>1674</Words>
  <Characters>1706</Characters>
  <Lines>135</Lines>
  <Paragraphs>31</Paragraphs>
  <CharactersWithSpaces>1797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dc:creator>
  <cp:lastModifiedBy>YBJ3</cp:lastModifiedBy>
  <cp:revision>1</cp:revision>
  <cp:lastPrinted>2022-06-06T16:09:00Z</cp:lastPrinted>
  <dcterms:created xsi:type="dcterms:W3CDTF">2021-09-11T02:41:00Z</dcterms:created>
  <dcterms:modified xsi:type="dcterms:W3CDTF">2023-08-31T08:24:39Z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2052-11.1.0.12598</vt:lpwstr>
  </property>
  <property fmtid="{D5CDD505-2E9C-101B-9397-08002B2CF9AE}" pid="3" name="ICV">
    <vt:lpwstr>48C61CB29D3F4D9384F5922CF0F7FFB4</vt:lpwstr>
  </property>
</Properties>
</file>