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pStyle w:val="15"/>
        <w:keepNext w:val="0"/>
        <w:keepLines w:val="0"/>
        <w:pageBreakBefore w:val="0"/>
        <w:widowControl w:val="0"/>
        <w:suppressLineNumbers w:val="0"/>
        <w:tabs>
          <w:tab w:val="left" w:pos="6510"/>
        </w:tabs>
        <w:suppressAutoHyphens w:val="0"/>
        <w:kinsoku/>
        <w:wordWrap/>
        <w:overflowPunct/>
        <w:topLinePunct w:val="0"/>
        <w:autoSpaceDE/>
        <w:autoSpaceDN w:val="0"/>
        <w:bidi w:val="0"/>
        <w:adjustRightInd/>
        <w:snapToGrid/>
        <w:spacing w:before="0" w:beforeAutospacing="0" w:after="0" w:afterAutospacing="0" w:line="1520" w:lineRule="exact"/>
        <w:ind w:left="0" w:right="0" w:firstLineChars="50" w:firstLine="374"/>
        <w:jc w:val="both"/>
        <w:outlineLvl w:val="9"/>
        <w:rPr>
          <w:rFonts w:ascii="方正小标宋_GBK" w:eastAsia="方正小标宋_GBK" w:cs="方正小标宋_GBK"/>
          <w:caps w:val="0"/>
          <w:smallCaps w:val="0"/>
          <w:color w:val="FF0000"/>
          <w:w w:val="52"/>
          <w:sz w:val="144"/>
          <w:szCs w:val="144"/>
          <w:vertAlign w:val="baseline"/>
        </w:rPr>
      </w:pPr>
    </w:p>
    <w:p>
      <w:pPr>
        <w:pStyle w:val="15"/>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1520" w:lineRule="exact"/>
        <w:ind w:left="0" w:right="0" w:firstLineChars="50" w:firstLine="374"/>
        <w:jc w:val="both"/>
        <w:outlineLvl w:val="9"/>
        <w:rPr>
          <w:rFonts w:ascii="方正小标宋_GBK" w:eastAsia="方正小标宋_GBK" w:cs="方正小标宋_GBK" w:hint="eastAsia"/>
          <w:caps w:val="0"/>
          <w:smallCaps w:val="0"/>
          <w:color w:val="FF0000"/>
          <w:w w:val="52"/>
          <w:sz w:val="144"/>
          <w:szCs w:val="144"/>
          <w:vertAlign w:val="baseline"/>
        </w:rPr>
      </w:pPr>
      <w:r>
        <w:rPr>
          <w:rFonts w:ascii="方正小标宋_GBK" w:eastAsia="方正小标宋_GBK" w:cs="方正小标宋_GBK"/>
          <w:caps w:val="0"/>
          <w:smallCaps w:val="0"/>
          <w:color w:val="FF0000"/>
          <w:w w:val="52"/>
          <w:sz w:val="144"/>
          <w:szCs w:val="144"/>
          <w:vertAlign w:val="baseline"/>
        </w:rPr>
        <w:t>重庆市江津区统计局文件</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20" w:lineRule="exact"/>
        <w:ind w:left="0" w:right="0" w:firstLine="0"/>
        <w:jc w:val="both"/>
        <w:outlineLvl w:val="9"/>
        <w:rPr>
          <w:rFonts w:ascii="Calibri" w:eastAsia="方正仿宋_GBK" w:cs="Calibri" w:hAnsi="Calibri"/>
          <w:caps w:val="0"/>
          <w:smallCaps w:val="0"/>
          <w:color w:val="auto"/>
          <w:sz w:val="32"/>
          <w:szCs w:val="32"/>
          <w:vertAlign w:val="baseline"/>
        </w:rPr>
      </w:pP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20" w:lineRule="exact"/>
        <w:ind w:left="0" w:right="0" w:firstLine="0"/>
        <w:jc w:val="center"/>
        <w:outlineLvl w:val="9"/>
        <w:rPr>
          <w:rFonts w:ascii="宋体" w:eastAsia="方正仿宋_GBK" w:cs="Calibri" w:hAnsi="宋体"/>
          <w:caps w:val="0"/>
          <w:smallCaps w:val="0"/>
          <w:color w:val="auto"/>
          <w:sz w:val="32"/>
          <w:szCs w:val="32"/>
          <w:vertAlign w:val="baseline"/>
        </w:rPr>
      </w:pPr>
      <w:r>
        <w:rPr>
          <w:rFonts w:ascii="宋体" w:eastAsia="方正仿宋_GBK" w:cs="方正仿宋_GBK" w:hAnsi="宋体" w:hint="eastAsia"/>
          <w:b w:val="0"/>
          <w:bCs w:val="0"/>
          <w:caps w:val="0"/>
          <w:smallCaps w:val="0"/>
          <w:color w:val="auto"/>
          <w:kern w:val="2"/>
          <w:sz w:val="32"/>
          <w:szCs w:val="32"/>
          <w:vertAlign w:val="baseline"/>
          <w:lang w:val="en-US" w:eastAsia="zh-CN"/>
        </w:rPr>
        <w:t>津统发〔</w:t>
      </w:r>
      <w:r>
        <w:rPr>
          <w:rFonts w:ascii="宋体" w:eastAsia="方正仿宋_GBK" w:cs="宋体" w:hAnsi="宋体" w:hint="eastAsia"/>
          <w:b w:val="0"/>
          <w:bCs w:val="0"/>
          <w:caps w:val="0"/>
          <w:smallCaps w:val="0"/>
          <w:color w:val="auto"/>
          <w:kern w:val="2"/>
          <w:sz w:val="32"/>
          <w:szCs w:val="32"/>
          <w:vertAlign w:val="baseline"/>
          <w:lang w:val="en-US" w:eastAsia="zh-CN"/>
        </w:rPr>
        <w:t>2021</w:t>
      </w:r>
      <w:r>
        <w:rPr>
          <w:rFonts w:ascii="宋体" w:eastAsia="方正仿宋_GBK" w:cs="方正仿宋_GBK" w:hAnsi="宋体" w:hint="eastAsia"/>
          <w:b w:val="0"/>
          <w:bCs w:val="0"/>
          <w:caps w:val="0"/>
          <w:smallCaps w:val="0"/>
          <w:color w:val="auto"/>
          <w:kern w:val="2"/>
          <w:sz w:val="32"/>
          <w:szCs w:val="32"/>
          <w:vertAlign w:val="baseline"/>
          <w:lang w:val="en-US" w:eastAsia="zh-CN"/>
        </w:rPr>
        <w:t>〕</w:t>
      </w:r>
      <w:r>
        <w:rPr>
          <w:rFonts w:ascii="宋体" w:eastAsia="方正仿宋_GBK" w:cs="宋体" w:hAnsi="宋体" w:hint="eastAsia"/>
          <w:b w:val="0"/>
          <w:bCs w:val="0"/>
          <w:caps w:val="0"/>
          <w:smallCaps w:val="0"/>
          <w:color w:val="auto"/>
          <w:kern w:val="2"/>
          <w:sz w:val="32"/>
          <w:szCs w:val="32"/>
          <w:vertAlign w:val="baseline"/>
          <w:lang w:val="en-US" w:eastAsia="zh-CN"/>
        </w:rPr>
        <w:t>4</w:t>
      </w:r>
      <w:r>
        <w:rPr>
          <w:rFonts w:ascii="宋体" w:eastAsia="方正仿宋_GBK" w:cs="方正仿宋_GBK" w:hAnsi="宋体" w:hint="eastAsia"/>
          <w:b w:val="0"/>
          <w:bCs w:val="0"/>
          <w:caps w:val="0"/>
          <w:smallCaps w:val="0"/>
          <w:color w:val="auto"/>
          <w:kern w:val="2"/>
          <w:sz w:val="32"/>
          <w:szCs w:val="32"/>
          <w:vertAlign w:val="baseline"/>
          <w:lang w:val="en-US" w:eastAsia="zh-CN"/>
        </w:rPr>
        <w:t>号</w:t>
      </w:r>
    </w:p>
    <w:p>
      <w:pPr>
        <w:pStyle w:val="17"/>
        <w:adjustRightInd w:val="0"/>
        <w:snapToGrid w:val="0"/>
        <w:spacing w:line="594" w:lineRule="exact"/>
        <w:jc w:val="center"/>
        <w:rPr>
          <w:rFonts w:ascii="宋体" w:hAnsi="宋体"/>
          <w:szCs w:val="32"/>
        </w:rPr>
      </w:pPr>
      <w:r>
        <w:rPr>
          <w:rFonts w:ascii="宋体" w:eastAsia="宋体"/>
          <w:sz w:val="21"/>
          <w:szCs w:val="21"/>
        </w:rPr>
        <mc:AlternateContent>
          <mc:Choice Requires="wps">
            <w:drawing>
              <wp:anchor distT="0" distB="0" distL="114298" distR="114298" simplePos="0" relativeHeight="11" behindDoc="0" locked="0" layoutInCell="1" hidden="0" allowOverlap="1">
                <wp:simplePos x="0" y="0"/>
                <wp:positionH relativeFrom="page">
                  <wp:posOffset>1093453</wp:posOffset>
                </wp:positionH>
                <wp:positionV relativeFrom="margin">
                  <wp:posOffset>2568377</wp:posOffset>
                </wp:positionV>
                <wp:extent cx="5615940" cy="952"/>
                <wp:effectExtent l="0" t="0" r="0" b="0"/>
                <wp:wrapNone/>
                <wp:docPr id="1" name="直线 1"/>
                <wp:cNvGraphicFramePr>
                  <a:graphicFrameLocks noChangeAspect="0"/>
                </wp:cNvGraphicFramePr>
                <a:graphic>
                  <a:graphicData uri="http://schemas.microsoft.com/office/word/2010/wordprocessingShape">
                    <wps:wsp>
                      <wps:cNvSpPr/>
                      <wps:spPr>
                        <a:xfrm rot="0">
                          <a:off x="0" y="0"/>
                          <a:ext cx="5615940" cy="952"/>
                        </a:xfrm>
                        <a:prstGeom prst="line"/>
                        <a:noFill/>
                        <a:ln w="22225" cmpd="sng" cap="flat">
                          <a:solidFill>
                            <a:srgbClr val="FF0000"/>
                          </a:solidFill>
                          <a:prstDash val="solid"/>
                          <a:round/>
                        </a:ln>
                      </wps:spPr>
                      <wps:bodyPr vert="horz" wrap="square" lIns="91440" tIns="45720" rIns="91440" bIns="45720" anchor="t" anchorCtr="0" upright="1">
                        <a:noAutofit/>
                      </wps:bodyPr>
                    </wps:wsp>
                  </a:graphicData>
                </a:graphic>
              </wp:anchor>
            </w:drawing>
          </mc:Choice>
          <mc:Fallback>
            <w:pict>
              <v:line type="#_x0000_t20" id="直线 2" o:spid="_x0000_s2" from="86.098694pt,202.23444pt" to="528.2987pt,202.30943pt" filled="f" stroked="t" strokeweight="1.75pt" style="position:absolute;z-index:11;mso-position-horizontal:absolute;mso-position-horizontal-relative:page;mso-position-vertical:absolute;mso-position-vertical-relative:margin;mso-wrap-distance-left:8.999863pt;mso-wrap-distance-right:8.999863pt;">
                <v:stroke color="#FF0000"/>
              </v:line>
            </w:pict>
          </mc:Fallback>
        </mc:AlternateContent>
      </w:r>
    </w:p>
    <w:p>
      <w:pPr>
        <w:pStyle w:val="17"/>
        <w:keepNext w:val="0"/>
        <w:keepLines w:val="0"/>
        <w:pageBreakBefore w:val="0"/>
        <w:widowControl w:val="0"/>
        <w:kinsoku/>
        <w:wordWrap/>
        <w:overflowPunct/>
        <w:topLinePunct w:val="0"/>
        <w:autoSpaceDE/>
        <w:autoSpaceDN/>
        <w:bidi w:val="0"/>
        <w:adjustRightInd w:val="0"/>
        <w:snapToGrid w:val="0"/>
        <w:spacing w:line="579" w:lineRule="exact"/>
        <w:ind w:left="0" w:firstLineChars="0" w:firstLine="0"/>
        <w:jc w:val="center"/>
        <w:textAlignment w:val="auto"/>
        <w:rPr>
          <w:rFonts w:ascii="宋体" w:eastAsia="方正小标宋_GBK" w:cs="Times New Roman" w:hAnsi="宋体"/>
          <w:sz w:val="44"/>
          <w:szCs w:val="44"/>
        </w:rPr>
      </w:pPr>
      <w:r>
        <w:rPr>
          <w:rFonts w:ascii="宋体" w:eastAsia="方正小标宋_GBK" w:cs="Times New Roman" w:hAnsi="宋体" w:hint="eastAsia"/>
          <w:sz w:val="44"/>
          <w:szCs w:val="44"/>
          <w:lang w:val="en-US" w:eastAsia="zh-CN"/>
        </w:rPr>
        <w:t xml:space="preserve"> </w:t>
      </w:r>
      <w:r>
        <w:rPr>
          <w:rFonts w:ascii="宋体" w:eastAsia="方正小标宋_GBK" w:cs="Times New Roman" w:hAnsi="宋体"/>
          <w:sz w:val="44"/>
          <w:szCs w:val="44"/>
        </w:rPr>
        <w:t>重庆市</w:t>
      </w:r>
      <w:r>
        <w:rPr>
          <w:rFonts w:ascii="宋体" w:eastAsia="方正小标宋_GBK" w:cs="Times New Roman" w:hAnsi="宋体" w:hint="eastAsia"/>
          <w:sz w:val="44"/>
          <w:szCs w:val="44"/>
        </w:rPr>
        <w:t>江津</w:t>
      </w:r>
      <w:r>
        <w:rPr>
          <w:rFonts w:ascii="宋体" w:eastAsia="方正小标宋_GBK" w:cs="Times New Roman" w:hAnsi="宋体"/>
          <w:sz w:val="44"/>
          <w:szCs w:val="44"/>
        </w:rPr>
        <w:t>区统计局</w:t>
      </w:r>
    </w:p>
    <w:p>
      <w:pPr>
        <w:pStyle w:val="17"/>
        <w:keepNext w:val="0"/>
        <w:keepLines w:val="0"/>
        <w:pageBreakBefore w:val="0"/>
        <w:widowControl w:val="0"/>
        <w:kinsoku/>
        <w:wordWrap/>
        <w:overflowPunct/>
        <w:topLinePunct w:val="0"/>
        <w:autoSpaceDE/>
        <w:autoSpaceDN/>
        <w:bidi w:val="0"/>
        <w:adjustRightInd w:val="0"/>
        <w:snapToGrid w:val="0"/>
        <w:spacing w:line="579" w:lineRule="exact"/>
        <w:ind w:left="0" w:firstLineChars="0" w:firstLine="0"/>
        <w:jc w:val="center"/>
        <w:textAlignment w:val="auto"/>
        <w:rPr>
          <w:rFonts w:ascii="宋体" w:eastAsia="方正小标宋_GBK" w:cs="Times New Roman" w:hAnsi="宋体"/>
          <w:sz w:val="44"/>
          <w:szCs w:val="44"/>
        </w:rPr>
      </w:pPr>
      <w:r>
        <w:rPr>
          <w:rFonts w:ascii="宋体" w:eastAsia="方正小标宋_GBK" w:cs="Times New Roman" w:hAnsi="宋体"/>
          <w:sz w:val="44"/>
          <w:szCs w:val="44"/>
        </w:rPr>
        <w:t>关于贯彻</w:t>
      </w:r>
      <w:r>
        <w:rPr>
          <w:rFonts w:ascii="宋体" w:eastAsia="方正小标宋_GBK" w:cs="Times New Roman" w:hAnsi="宋体" w:hint="eastAsia"/>
          <w:sz w:val="44"/>
          <w:szCs w:val="44"/>
        </w:rPr>
        <w:t>执行重庆市</w:t>
      </w:r>
      <w:r>
        <w:rPr>
          <w:rFonts w:ascii="宋体" w:eastAsia="方正小标宋_GBK" w:cs="Times New Roman" w:hAnsi="宋体" w:hint="eastAsia"/>
          <w:sz w:val="44"/>
          <w:szCs w:val="44"/>
          <w:lang w:val="en-US" w:eastAsia="zh-CN"/>
        </w:rPr>
        <w:t>统</w:t>
      </w:r>
      <w:r>
        <w:rPr>
          <w:rFonts w:ascii="宋体" w:eastAsia="方正小标宋_GBK" w:cs="Times New Roman" w:hAnsi="宋体" w:hint="eastAsia"/>
          <w:sz w:val="44"/>
          <w:szCs w:val="44"/>
        </w:rPr>
        <w:t>计局</w:t>
      </w:r>
      <w:r>
        <w:rPr>
          <w:rFonts w:ascii="宋体" w:eastAsia="方正小标宋_GBK" w:cs="Times New Roman" w:hAnsi="宋体"/>
          <w:sz w:val="44"/>
          <w:szCs w:val="44"/>
        </w:rPr>
        <w:t>加强统计领域</w:t>
      </w:r>
    </w:p>
    <w:p>
      <w:pPr>
        <w:pStyle w:val="17"/>
        <w:keepNext w:val="0"/>
        <w:keepLines w:val="0"/>
        <w:pageBreakBefore w:val="0"/>
        <w:widowControl w:val="0"/>
        <w:kinsoku/>
        <w:wordWrap/>
        <w:overflowPunct/>
        <w:topLinePunct w:val="0"/>
        <w:autoSpaceDE/>
        <w:autoSpaceDN/>
        <w:bidi w:val="0"/>
        <w:adjustRightInd w:val="0"/>
        <w:snapToGrid w:val="0"/>
        <w:spacing w:line="579" w:lineRule="exact"/>
        <w:ind w:left="0" w:firstLineChars="0" w:firstLine="0"/>
        <w:jc w:val="center"/>
        <w:textAlignment w:val="auto"/>
        <w:rPr>
          <w:rFonts w:ascii="宋体" w:eastAsia="方正小标宋_GBK" w:cs="Times New Roman" w:hAnsi="宋体"/>
          <w:sz w:val="44"/>
          <w:szCs w:val="44"/>
        </w:rPr>
      </w:pPr>
      <w:r>
        <w:rPr>
          <w:rFonts w:ascii="宋体" w:eastAsia="方正小标宋_GBK" w:cs="Times New Roman" w:hAnsi="宋体"/>
          <w:sz w:val="44"/>
          <w:szCs w:val="44"/>
        </w:rPr>
        <w:t xml:space="preserve"> </w:t>
      </w:r>
      <w:bookmarkStart w:id="0" w:name="_GoBack"/>
      <w:bookmarkEnd w:id="0"/>
      <w:r>
        <w:rPr>
          <w:rFonts w:ascii="宋体" w:eastAsia="方正小标宋_GBK" w:cs="Times New Roman" w:hAnsi="宋体"/>
          <w:sz w:val="44"/>
          <w:szCs w:val="44"/>
        </w:rPr>
        <w:t>信用建设</w:t>
      </w:r>
      <w:r>
        <w:rPr>
          <w:rFonts w:ascii="宋体" w:eastAsia="方正小标宋_GBK" w:cs="Times New Roman" w:hAnsi="宋体" w:hint="eastAsia"/>
          <w:sz w:val="44"/>
          <w:szCs w:val="44"/>
        </w:rPr>
        <w:t>的</w:t>
      </w:r>
      <w:r>
        <w:rPr>
          <w:rFonts w:ascii="宋体" w:eastAsia="方正小标宋_GBK" w:cs="Times New Roman" w:hAnsi="宋体"/>
          <w:sz w:val="44"/>
          <w:szCs w:val="44"/>
        </w:rPr>
        <w:t>实施意见</w:t>
      </w:r>
    </w:p>
    <w:p>
      <w:pPr>
        <w:pStyle w:val="17"/>
        <w:keepNext w:val="0"/>
        <w:keepLines w:val="0"/>
        <w:pageBreakBefore w:val="0"/>
        <w:widowControl w:val="0"/>
        <w:kinsoku/>
        <w:wordWrap/>
        <w:overflowPunct/>
        <w:topLinePunct w:val="0"/>
        <w:autoSpaceDE/>
        <w:autoSpaceDN/>
        <w:bidi w:val="0"/>
        <w:adjustRightInd w:val="0"/>
        <w:snapToGrid w:val="0"/>
        <w:spacing w:line="579" w:lineRule="exact"/>
        <w:ind w:left="0" w:firstLineChars="0" w:firstLine="0"/>
        <w:jc w:val="center"/>
        <w:textAlignment w:val="auto"/>
        <w:rPr>
          <w:rFonts w:ascii="宋体" w:eastAsia="方正小标宋_GBK" w:cs="Times New Roman" w:hAnsi="宋体"/>
          <w:sz w:val="44"/>
          <w:szCs w:val="44"/>
        </w:rPr>
      </w:pPr>
    </w:p>
    <w:p>
      <w:pPr>
        <w:pStyle w:val="16"/>
        <w:keepNext w:val="0"/>
        <w:keepLines w:val="0"/>
        <w:pageBreakBefore w:val="0"/>
        <w:widowControl/>
        <w:kinsoku/>
        <w:wordWrap/>
        <w:overflowPunct/>
        <w:topLinePunct w:val="0"/>
        <w:autoSpaceDE/>
        <w:autoSpaceDN/>
        <w:bidi w:val="0"/>
        <w:adjustRightInd/>
        <w:snapToGrid/>
        <w:spacing w:line="579" w:lineRule="exact"/>
        <w:jc w:val="both"/>
        <w:textAlignment w:val="auto"/>
        <w:rPr>
          <w:rFonts w:ascii="宋体" w:eastAsia="方正仿宋_GBK" w:hAnsi="宋体"/>
          <w:kern w:val="2"/>
          <w:sz w:val="32"/>
          <w:szCs w:val="32"/>
        </w:rPr>
      </w:pPr>
      <w:r>
        <w:rPr>
          <w:rFonts w:ascii="宋体" w:eastAsia="方正仿宋_GBK" w:hAnsi="宋体" w:hint="eastAsia"/>
          <w:kern w:val="2"/>
          <w:sz w:val="32"/>
          <w:szCs w:val="32"/>
        </w:rPr>
        <w:t>各镇人民政府、街道办事处，各工业园发展中心，相关部门：</w:t>
      </w:r>
    </w:p>
    <w:p>
      <w:pPr>
        <w:pStyle w:val="16"/>
        <w:keepNext w:val="0"/>
        <w:keepLines w:val="0"/>
        <w:pageBreakBefore w:val="0"/>
        <w:widowControl/>
        <w:kinsoku/>
        <w:wordWrap/>
        <w:overflowPunct/>
        <w:topLinePunct w:val="0"/>
        <w:autoSpaceDE/>
        <w:autoSpaceDN/>
        <w:bidi w:val="0"/>
        <w:adjustRightInd/>
        <w:snapToGrid/>
        <w:spacing w:line="579" w:lineRule="exact"/>
        <w:ind w:firstLineChars="200" w:firstLine="640"/>
        <w:jc w:val="both"/>
        <w:textAlignment w:val="auto"/>
        <w:rPr>
          <w:rFonts w:ascii="宋体" w:eastAsia="方正仿宋_GBK" w:cs="Times New Roman" w:hAnsi="宋体"/>
          <w:kern w:val="2"/>
          <w:sz w:val="32"/>
          <w:szCs w:val="32"/>
        </w:rPr>
      </w:pPr>
      <w:r>
        <w:rPr>
          <w:rFonts w:ascii="宋体" w:eastAsia="方正仿宋_GBK" w:cs="Times New Roman" w:hAnsi="宋体"/>
          <w:kern w:val="2"/>
          <w:sz w:val="32"/>
          <w:szCs w:val="32"/>
        </w:rPr>
        <w:t>为全面贯彻党的十九大和十九届二中、三中、四中、五中全会精神，认真落实中央《关于深化统计管理体制改革提高统计数据真实性的意见》，根据《国家统计局关于加强统计领域信用建设的若干意见》（国统字〔2017〕99号）和《重庆市统计局关于贯彻执行国家统计局加强统计领域信用建设的实施意见》（渝统发〔2017〕36号）精神，紧紧围绕加快推进社会诚信建设的有关要求，全面推进我区依法统计、诚信统计，加快构建统计守信激励和统计失信惩戒机制，现就加强统计领域信用建设提出如下实施意见。</w:t>
      </w:r>
    </w:p>
    <w:p>
      <w:pPr>
        <w:pStyle w:val="16"/>
        <w:keepNext w:val="0"/>
        <w:keepLines w:val="0"/>
        <w:pageBreakBefore w:val="0"/>
        <w:widowControl/>
        <w:kinsoku/>
        <w:wordWrap/>
        <w:overflowPunct/>
        <w:topLinePunct w:val="0"/>
        <w:autoSpaceDE/>
        <w:autoSpaceDN/>
        <w:bidi w:val="0"/>
        <w:adjustRightInd/>
        <w:snapToGrid/>
        <w:spacing w:line="579" w:lineRule="exact"/>
        <w:ind w:firstLineChars="200" w:firstLine="640"/>
        <w:jc w:val="both"/>
        <w:textAlignment w:val="auto"/>
        <w:rPr>
          <w:rFonts w:ascii="宋体" w:eastAsia="方正黑体_GBK" w:cs="Times New Roman" w:hAnsi="宋体"/>
          <w:sz w:val="32"/>
          <w:szCs w:val="32"/>
        </w:rPr>
      </w:pPr>
      <w:r>
        <w:rPr>
          <w:rFonts w:ascii="宋体" w:eastAsia="方正黑体_GBK" w:cs="Times New Roman" w:hAnsi="宋体"/>
          <w:sz w:val="32"/>
          <w:szCs w:val="32"/>
        </w:rPr>
        <w:t>一、</w:t>
      </w:r>
      <w:r>
        <w:rPr>
          <w:rFonts w:ascii="宋体" w:eastAsia="方正黑体_GBK" w:cs="Times New Roman" w:hAnsi="宋体" w:hint="eastAsia"/>
          <w:sz w:val="32"/>
          <w:szCs w:val="32"/>
        </w:rPr>
        <w:t>加强统计领域信用建设的</w:t>
      </w:r>
      <w:r>
        <w:rPr>
          <w:rFonts w:ascii="宋体" w:eastAsia="方正黑体_GBK" w:cs="Times New Roman" w:hAnsi="宋体"/>
          <w:sz w:val="32"/>
          <w:szCs w:val="32"/>
        </w:rPr>
        <w:t>重要意义</w:t>
      </w:r>
    </w:p>
    <w:p>
      <w:pPr>
        <w:pStyle w:val="16"/>
        <w:keepNext w:val="0"/>
        <w:keepLines w:val="0"/>
        <w:pageBreakBefore w:val="0"/>
        <w:widowControl/>
        <w:kinsoku/>
        <w:wordWrap/>
        <w:overflowPunct/>
        <w:topLinePunct w:val="0"/>
        <w:autoSpaceDE/>
        <w:autoSpaceDN/>
        <w:bidi w:val="0"/>
        <w:adjustRightInd/>
        <w:snapToGrid/>
        <w:spacing w:line="579" w:lineRule="exact"/>
        <w:ind w:firstLineChars="200" w:firstLine="640"/>
        <w:jc w:val="both"/>
        <w:textAlignment w:val="auto"/>
        <w:rPr>
          <w:rFonts w:ascii="宋体" w:eastAsia="方正仿宋_GBK" w:hAnsi="宋体"/>
          <w:kern w:val="2"/>
          <w:sz w:val="32"/>
          <w:szCs w:val="32"/>
        </w:rPr>
      </w:pPr>
      <w:r>
        <w:rPr>
          <w:rFonts w:ascii="宋体" w:eastAsia="方正仿宋_GBK" w:cs="Times New Roman" w:hAnsi="宋体"/>
          <w:kern w:val="2"/>
          <w:sz w:val="32"/>
          <w:szCs w:val="32"/>
        </w:rPr>
        <w:t>党的十八大以来，党中央、国务院高度重视统计工作，多次强调要加强统计改革创新，加快构建现代统计调查体系，不断提高数据质量，为推进经济社会发展提供扎实的统计保障。加强统计领域信用建设是贯彻落实党中央、国务院关于加强统计工作的重要举措，是加强国家社会信用体系建设的重要组成部分，是深化统计管理体制改革的重要内容，对于推进依法统计、依法治统，营造良好统计生态环境，提高统计运作效率、数据质量和服务水平具有重要意义。</w:t>
      </w:r>
    </w:p>
    <w:p>
      <w:pPr>
        <w:pStyle w:val="16"/>
        <w:keepNext w:val="0"/>
        <w:keepLines w:val="0"/>
        <w:pageBreakBefore w:val="0"/>
        <w:widowControl/>
        <w:kinsoku/>
        <w:wordWrap/>
        <w:overflowPunct/>
        <w:topLinePunct w:val="0"/>
        <w:autoSpaceDE/>
        <w:autoSpaceDN/>
        <w:bidi w:val="0"/>
        <w:adjustRightInd/>
        <w:snapToGrid/>
        <w:spacing w:line="579" w:lineRule="exact"/>
        <w:ind w:firstLineChars="200" w:firstLine="640"/>
        <w:jc w:val="both"/>
        <w:textAlignment w:val="auto"/>
        <w:rPr>
          <w:rFonts w:ascii="宋体" w:eastAsia="方正仿宋_GBK" w:hAnsi="宋体"/>
          <w:kern w:val="2"/>
          <w:sz w:val="32"/>
          <w:szCs w:val="32"/>
        </w:rPr>
      </w:pPr>
      <w:r>
        <w:rPr>
          <w:rFonts w:ascii="宋体" w:eastAsia="方正黑体_GBK" w:cs="Times New Roman" w:hAnsi="宋体"/>
          <w:sz w:val="32"/>
          <w:szCs w:val="32"/>
        </w:rPr>
        <w:t>二、</w:t>
      </w:r>
      <w:r>
        <w:rPr>
          <w:rFonts w:ascii="宋体" w:eastAsia="方正黑体_GBK" w:cs="Times New Roman" w:hAnsi="宋体" w:hint="eastAsia"/>
          <w:sz w:val="32"/>
          <w:szCs w:val="32"/>
        </w:rPr>
        <w:t>加强统计领域信用建设的主要目标</w:t>
      </w:r>
    </w:p>
    <w:p>
      <w:pPr>
        <w:pStyle w:val="16"/>
        <w:keepNext w:val="0"/>
        <w:keepLines w:val="0"/>
        <w:pageBreakBefore w:val="0"/>
        <w:widowControl/>
        <w:kinsoku/>
        <w:wordWrap/>
        <w:overflowPunct/>
        <w:topLinePunct w:val="0"/>
        <w:autoSpaceDE/>
        <w:autoSpaceDN/>
        <w:bidi w:val="0"/>
        <w:adjustRightInd/>
        <w:snapToGrid/>
        <w:spacing w:line="579" w:lineRule="exact"/>
        <w:ind w:firstLineChars="200" w:firstLine="640"/>
        <w:jc w:val="both"/>
        <w:textAlignment w:val="auto"/>
        <w:rPr>
          <w:rFonts w:ascii="宋体" w:eastAsia="方正仿宋_GBK" w:hAnsi="宋体"/>
          <w:kern w:val="2"/>
          <w:sz w:val="32"/>
          <w:szCs w:val="32"/>
        </w:rPr>
      </w:pPr>
      <w:r>
        <w:rPr>
          <w:rFonts w:ascii="宋体" w:eastAsia="方正仿宋_GBK" w:cs="Times New Roman" w:hAnsi="宋体"/>
          <w:kern w:val="2"/>
          <w:sz w:val="32"/>
          <w:szCs w:val="32"/>
        </w:rPr>
        <w:t>全面贯彻党的十九大和十九届二中、三中、四中、五中全会精神，深入学习贯彻习近平新时代中国特色社会主义思想，按照党中央、国务院和市委、市政府的决策部署，认真落实国家和全市社会信用体系建设各项要求，加强统计诚信文化建设，</w:t>
      </w:r>
      <w:r>
        <w:rPr>
          <w:rFonts w:ascii="宋体" w:eastAsia="方正仿宋_GBK" w:cs="Times New Roman" w:hAnsi="宋体" w:hint="eastAsia"/>
          <w:kern w:val="2"/>
          <w:sz w:val="32"/>
          <w:szCs w:val="32"/>
        </w:rPr>
        <w:t>认真执行国家和重庆市</w:t>
      </w:r>
      <w:r>
        <w:rPr>
          <w:rFonts w:ascii="宋体" w:eastAsia="方正仿宋_GBK" w:cs="Times New Roman" w:hAnsi="宋体"/>
          <w:kern w:val="2"/>
          <w:sz w:val="32"/>
          <w:szCs w:val="32"/>
        </w:rPr>
        <w:t>统计信用制度，健全统计守信激励和统计失信惩戒机制，</w:t>
      </w:r>
      <w:r>
        <w:rPr>
          <w:rFonts w:ascii="宋体" w:eastAsia="方正仿宋_GBK" w:cs="Times New Roman" w:hAnsi="宋体" w:hint="eastAsia"/>
          <w:kern w:val="2"/>
          <w:sz w:val="32"/>
          <w:szCs w:val="32"/>
        </w:rPr>
        <w:t>充实完善</w:t>
      </w:r>
      <w:r>
        <w:rPr>
          <w:rFonts w:ascii="宋体" w:eastAsia="方正仿宋_GBK" w:cs="Times New Roman" w:hAnsi="宋体"/>
          <w:kern w:val="2"/>
          <w:sz w:val="32"/>
          <w:szCs w:val="32"/>
        </w:rPr>
        <w:t>统计信用信息系统</w:t>
      </w:r>
      <w:r>
        <w:rPr>
          <w:rFonts w:ascii="宋体" w:eastAsia="方正仿宋_GBK" w:cs="Times New Roman" w:hAnsi="宋体" w:hint="eastAsia"/>
          <w:kern w:val="2"/>
          <w:sz w:val="32"/>
          <w:szCs w:val="32"/>
        </w:rPr>
        <w:t>和</w:t>
      </w:r>
      <w:r>
        <w:rPr>
          <w:rFonts w:ascii="宋体" w:eastAsia="方正仿宋_GBK" w:cs="Times New Roman" w:hAnsi="宋体"/>
          <w:kern w:val="2"/>
          <w:sz w:val="32"/>
          <w:szCs w:val="32"/>
        </w:rPr>
        <w:t>统计失信企业公示系统，强化统计职业道德和职业操守教育，强化统计法律法规意识，强化对统计调查对象和统计从业人员失信行为的联合惩戒，推动开展统计诚信承诺活动，积极营造“诚信统计光荣、虚假统计可耻”的良好社会氛围，为提高统计数据质量和服务水平提供扎实的道德保障。</w:t>
        <w:br/>
        <w:t>　</w:t>
      </w:r>
      <w:r>
        <w:rPr>
          <w:rFonts w:ascii="宋体" w:eastAsia="方正黑体_GBK" w:cs="Times New Roman" w:hAnsi="宋体"/>
          <w:sz w:val="32"/>
          <w:szCs w:val="32"/>
        </w:rPr>
        <w:t>　三、工作任务</w:t>
      </w:r>
    </w:p>
    <w:p>
      <w:pPr>
        <w:pStyle w:val="16"/>
        <w:keepNext w:val="0"/>
        <w:keepLines w:val="0"/>
        <w:pageBreakBefore w:val="0"/>
        <w:widowControl/>
        <w:shd w:val="clear" w:color="auto" w:fill="FFFFFF"/>
        <w:kinsoku/>
        <w:wordWrap/>
        <w:overflowPunct/>
        <w:topLinePunct w:val="0"/>
        <w:autoSpaceDE/>
        <w:autoSpaceDN/>
        <w:bidi w:val="0"/>
        <w:adjustRightInd/>
        <w:snapToGrid/>
        <w:spacing w:line="579" w:lineRule="exact"/>
        <w:ind w:firstLineChars="200" w:firstLine="640"/>
        <w:jc w:val="both"/>
        <w:textAlignment w:val="auto"/>
        <w:rPr>
          <w:rFonts w:ascii="宋体" w:eastAsia="方正仿宋_GBK" w:cs="Times New Roman" w:hAnsi="宋体"/>
          <w:kern w:val="2"/>
          <w:sz w:val="32"/>
          <w:szCs w:val="32"/>
        </w:rPr>
      </w:pPr>
      <w:r>
        <w:rPr>
          <w:rFonts w:ascii="宋体" w:eastAsia="方正楷体_GBK" w:cs="Times New Roman" w:hAnsi="宋体"/>
          <w:sz w:val="32"/>
          <w:szCs w:val="32"/>
        </w:rPr>
        <w:t>（一）实施企业统计信用管理制度</w:t>
      </w:r>
    </w:p>
    <w:p>
      <w:pPr>
        <w:pStyle w:val="16"/>
        <w:keepNext w:val="0"/>
        <w:keepLines w:val="0"/>
        <w:pageBreakBefore w:val="0"/>
        <w:widowControl/>
        <w:shd w:val="clear" w:color="auto" w:fill="FFFFFF"/>
        <w:kinsoku/>
        <w:wordWrap/>
        <w:overflowPunct/>
        <w:topLinePunct w:val="0"/>
        <w:autoSpaceDE/>
        <w:autoSpaceDN/>
        <w:bidi w:val="0"/>
        <w:adjustRightInd/>
        <w:snapToGrid/>
        <w:spacing w:line="579" w:lineRule="exact"/>
        <w:ind w:firstLineChars="200" w:firstLine="640"/>
        <w:jc w:val="both"/>
        <w:textAlignment w:val="auto"/>
        <w:rPr>
          <w:rFonts w:ascii="宋体" w:eastAsia="方正仿宋_GBK" w:cs="Times New Roman" w:hAnsi="宋体"/>
          <w:kern w:val="2"/>
          <w:sz w:val="32"/>
          <w:szCs w:val="32"/>
        </w:rPr>
      </w:pPr>
      <w:r>
        <w:rPr>
          <w:rFonts w:ascii="宋体" w:eastAsia="方正仿宋_GBK" w:cs="Times New Roman" w:hAnsi="宋体"/>
          <w:kern w:val="2"/>
          <w:sz w:val="32"/>
          <w:szCs w:val="32"/>
        </w:rPr>
        <w:t>认真执行国家、全市企业统计信用管理</w:t>
      </w:r>
      <w:r>
        <w:rPr>
          <w:rFonts w:ascii="宋体" w:eastAsia="方正仿宋_GBK" w:cs="Times New Roman" w:hAnsi="宋体" w:hint="eastAsia"/>
          <w:kern w:val="2"/>
          <w:sz w:val="32"/>
          <w:szCs w:val="32"/>
        </w:rPr>
        <w:t>办法</w:t>
      </w:r>
      <w:r>
        <w:rPr>
          <w:rFonts w:ascii="宋体" w:eastAsia="方正仿宋_GBK" w:cs="Times New Roman" w:hAnsi="宋体"/>
          <w:kern w:val="2"/>
          <w:sz w:val="32"/>
          <w:szCs w:val="32"/>
        </w:rPr>
        <w:t>，真实准确、客观公正地反映企业守信和失信状况，严格依照条件认定统计守信企业、统计信用异常企业、统计一般失信企业、统计严重失信企业，严格按照规定向统计信用异常、统计一般失信、统计严重失信企业告知信用情况，严格按要求建立</w:t>
      </w:r>
      <w:r>
        <w:rPr>
          <w:rFonts w:ascii="宋体" w:eastAsia="方正仿宋_GBK" w:cs="Times New Roman" w:hAnsi="宋体" w:hint="eastAsia"/>
          <w:kern w:val="2"/>
          <w:sz w:val="32"/>
          <w:szCs w:val="32"/>
        </w:rPr>
        <w:t>并维护</w:t>
      </w:r>
      <w:r>
        <w:rPr>
          <w:rFonts w:ascii="宋体" w:eastAsia="方正仿宋_GBK" w:cs="Times New Roman" w:hAnsi="宋体"/>
          <w:kern w:val="2"/>
          <w:sz w:val="32"/>
          <w:szCs w:val="32"/>
        </w:rPr>
        <w:t>统计失信企业信息公示专栏，按要求向社会公示统计一般失信和统计严重失信企业信息。</w:t>
      </w:r>
    </w:p>
    <w:p>
      <w:pPr>
        <w:pStyle w:val="16"/>
        <w:keepNext w:val="0"/>
        <w:keepLines w:val="0"/>
        <w:pageBreakBefore w:val="0"/>
        <w:widowControl/>
        <w:shd w:val="clear" w:color="auto" w:fill="FFFFFF"/>
        <w:kinsoku/>
        <w:wordWrap/>
        <w:overflowPunct/>
        <w:topLinePunct w:val="0"/>
        <w:autoSpaceDE/>
        <w:autoSpaceDN/>
        <w:bidi w:val="0"/>
        <w:adjustRightInd/>
        <w:snapToGrid/>
        <w:spacing w:line="579" w:lineRule="exact"/>
        <w:ind w:firstLineChars="200" w:firstLine="640"/>
        <w:jc w:val="both"/>
        <w:textAlignment w:val="auto"/>
        <w:rPr>
          <w:rFonts w:ascii="宋体" w:eastAsia="方正楷体_GBK" w:hAnsi="宋体"/>
          <w:sz w:val="32"/>
          <w:szCs w:val="32"/>
        </w:rPr>
      </w:pPr>
      <w:r>
        <w:rPr>
          <w:rFonts w:ascii="宋体" w:eastAsia="方正楷体_GBK" w:cs="Times New Roman" w:hAnsi="宋体"/>
          <w:sz w:val="32"/>
          <w:szCs w:val="32"/>
        </w:rPr>
        <w:t>（二）实施统计从业人员统计信用档案管理制度</w:t>
      </w:r>
    </w:p>
    <w:p>
      <w:pPr>
        <w:pStyle w:val="16"/>
        <w:keepNext w:val="0"/>
        <w:keepLines w:val="0"/>
        <w:pageBreakBefore w:val="0"/>
        <w:widowControl/>
        <w:shd w:val="clear" w:color="auto" w:fill="FFFFFF"/>
        <w:kinsoku/>
        <w:wordWrap/>
        <w:overflowPunct/>
        <w:topLinePunct w:val="0"/>
        <w:autoSpaceDE/>
        <w:autoSpaceDN/>
        <w:bidi w:val="0"/>
        <w:adjustRightInd/>
        <w:snapToGrid/>
        <w:spacing w:line="579" w:lineRule="exact"/>
        <w:ind w:firstLineChars="200" w:firstLine="640"/>
        <w:jc w:val="both"/>
        <w:textAlignment w:val="auto"/>
        <w:rPr>
          <w:rFonts w:ascii="宋体" w:eastAsia="方正楷体_GBK" w:hAnsi="宋体"/>
          <w:sz w:val="32"/>
          <w:szCs w:val="32"/>
        </w:rPr>
      </w:pPr>
      <w:r>
        <w:rPr>
          <w:rFonts w:ascii="宋体" w:eastAsia="方正仿宋_GBK" w:cs="Times New Roman" w:hAnsi="宋体"/>
          <w:kern w:val="2"/>
          <w:sz w:val="32"/>
          <w:szCs w:val="32"/>
        </w:rPr>
        <w:t>认真执行国家、全市统计从业人员统计信用档案管理</w:t>
      </w:r>
      <w:r>
        <w:rPr>
          <w:rFonts w:ascii="宋体" w:eastAsia="方正仿宋_GBK" w:cs="Times New Roman" w:hAnsi="宋体" w:hint="eastAsia"/>
          <w:kern w:val="2"/>
          <w:sz w:val="32"/>
          <w:szCs w:val="32"/>
        </w:rPr>
        <w:t>办法</w:t>
      </w:r>
      <w:r>
        <w:rPr>
          <w:rFonts w:ascii="宋体" w:eastAsia="方正仿宋_GBK" w:cs="Times New Roman" w:hAnsi="宋体"/>
          <w:kern w:val="2"/>
          <w:sz w:val="32"/>
          <w:szCs w:val="32"/>
        </w:rPr>
        <w:t>，健全统计从业人员统计信用档案，认真采集、整理、加工、保存、使用政府统计机构中的统计从业人员、调查单位中的统计从业人员统计信用信息，严格管理统计从业人员信用活动，真实准确、客观公正地反映统计从业人员诚信和失信状况，严格依照条件认定、归集统计从业人员统计守信行为信息、统计警示行为信息和统计严重失信行为信息，严格按规定向统计从业人员告知其警示和严重失信行为信息并抄送其所在单位，严格按规定向社会公示统计从业人员严重失信行为信息。</w:t>
      </w:r>
    </w:p>
    <w:p>
      <w:pPr>
        <w:pStyle w:val="16"/>
        <w:keepNext w:val="0"/>
        <w:keepLines w:val="0"/>
        <w:pageBreakBefore w:val="0"/>
        <w:widowControl/>
        <w:shd w:val="clear" w:color="auto" w:fill="FFFFFF"/>
        <w:kinsoku/>
        <w:wordWrap/>
        <w:overflowPunct/>
        <w:topLinePunct w:val="0"/>
        <w:autoSpaceDE/>
        <w:autoSpaceDN/>
        <w:bidi w:val="0"/>
        <w:adjustRightInd/>
        <w:snapToGrid/>
        <w:spacing w:line="579" w:lineRule="exact"/>
        <w:ind w:firstLineChars="200" w:firstLine="640"/>
        <w:jc w:val="both"/>
        <w:textAlignment w:val="auto"/>
        <w:rPr>
          <w:rFonts w:ascii="宋体" w:eastAsia="方正楷体_GBK" w:hAnsi="宋体"/>
          <w:sz w:val="32"/>
          <w:szCs w:val="32"/>
        </w:rPr>
      </w:pPr>
      <w:r>
        <w:rPr>
          <w:rFonts w:ascii="宋体" w:eastAsia="方正楷体_GBK" w:cs="Times New Roman" w:hAnsi="宋体"/>
          <w:sz w:val="32"/>
          <w:szCs w:val="32"/>
        </w:rPr>
        <w:t>（三）健全统计严重失信企业和有关人员联合惩戒机制</w:t>
      </w:r>
    </w:p>
    <w:p>
      <w:pPr>
        <w:pStyle w:val="16"/>
        <w:keepNext w:val="0"/>
        <w:keepLines w:val="0"/>
        <w:pageBreakBefore w:val="0"/>
        <w:widowControl/>
        <w:shd w:val="clear" w:color="auto" w:fill="FFFFFF"/>
        <w:kinsoku/>
        <w:wordWrap/>
        <w:overflowPunct/>
        <w:topLinePunct w:val="0"/>
        <w:autoSpaceDE/>
        <w:autoSpaceDN/>
        <w:bidi w:val="0"/>
        <w:adjustRightInd/>
        <w:snapToGrid/>
        <w:spacing w:line="579" w:lineRule="exact"/>
        <w:ind w:firstLineChars="200" w:firstLine="640"/>
        <w:jc w:val="both"/>
        <w:textAlignment w:val="auto"/>
        <w:rPr>
          <w:rFonts w:ascii="宋体" w:eastAsia="方正楷体_GBK" w:cs="Times New Roman" w:hAnsi="宋体"/>
          <w:sz w:val="32"/>
          <w:szCs w:val="32"/>
        </w:rPr>
      </w:pPr>
      <w:r>
        <w:rPr>
          <w:rFonts w:ascii="宋体" w:eastAsia="方正仿宋_GBK" w:cs="Times New Roman" w:hAnsi="宋体"/>
          <w:kern w:val="2"/>
          <w:sz w:val="32"/>
          <w:szCs w:val="32"/>
        </w:rPr>
        <w:t>根据国家发展改革委、人民银行、国家统计局等部门联合签署的《对统计领域严重失信企业及其有关人员开展联合惩戒的合作备忘录》和重庆市统计局《关于贯彻执行国家统计局加强统计领域信用建设的实施意见》要求，加强与同级开展联合惩戒部门的沟通协调，形成惩戒合力，依法对统计严重失信企业及其法定代表人、主要负责人和其他负有直接责任人员实施联合惩戒。区统计局在本级网站统计严重失信企业信息公示专栏公示严重失信企业及其有关人员信息的同时，应将严重失信企业及其有关人员的信息推送到重庆市统计局统计严重失信企业信息公示专栏，由重庆市统计局将严重失信企业信息推送至联合惩戒部门进行联合惩戒。逐步实现由各级统计机构将统计严重失信企业信息直接推送到“信用中国”网站和全国信用信息共享平台，由联合惩戒部门进行联合惩戒。进一步完善部门联合惩戒机制，增加惩戒措施，扩大惩戒范围，逐步将联合惩戒机制扩大到企业以外的统计调查对象。</w:t>
      </w:r>
    </w:p>
    <w:p>
      <w:pPr>
        <w:pStyle w:val="16"/>
        <w:keepNext w:val="0"/>
        <w:keepLines w:val="0"/>
        <w:pageBreakBefore w:val="0"/>
        <w:widowControl/>
        <w:kinsoku/>
        <w:wordWrap/>
        <w:overflowPunct/>
        <w:topLinePunct w:val="0"/>
        <w:autoSpaceDE/>
        <w:autoSpaceDN/>
        <w:bidi w:val="0"/>
        <w:adjustRightInd/>
        <w:snapToGrid/>
        <w:spacing w:line="579" w:lineRule="exact"/>
        <w:ind w:firstLineChars="200" w:firstLine="640"/>
        <w:jc w:val="both"/>
        <w:textAlignment w:val="auto"/>
        <w:rPr>
          <w:rFonts w:ascii="宋体" w:eastAsia="方正楷体_GBK" w:cs="Times New Roman" w:hAnsi="宋体" w:hint="eastAsia"/>
          <w:sz w:val="32"/>
          <w:szCs w:val="32"/>
        </w:rPr>
      </w:pPr>
      <w:r>
        <w:rPr>
          <w:rFonts w:ascii="宋体" w:eastAsia="方正楷体_GBK" w:cs="Times New Roman" w:hAnsi="宋体"/>
          <w:sz w:val="32"/>
          <w:szCs w:val="32"/>
        </w:rPr>
        <w:t>（四）</w:t>
      </w:r>
      <w:r>
        <w:rPr>
          <w:rFonts w:ascii="宋体" w:eastAsia="方正楷体_GBK" w:cs="Times New Roman" w:hAnsi="宋体" w:hint="eastAsia"/>
          <w:sz w:val="32"/>
          <w:szCs w:val="32"/>
        </w:rPr>
        <w:t>严格</w:t>
      </w:r>
      <w:r>
        <w:rPr>
          <w:rFonts w:ascii="宋体" w:eastAsia="方正楷体_GBK" w:cs="Times New Roman" w:hAnsi="宋体"/>
          <w:sz w:val="32"/>
          <w:szCs w:val="32"/>
        </w:rPr>
        <w:t>统计信用联合奖惩对象名单管理</w:t>
      </w:r>
    </w:p>
    <w:p>
      <w:pPr>
        <w:pStyle w:val="16"/>
        <w:keepNext w:val="0"/>
        <w:keepLines w:val="0"/>
        <w:pageBreakBefore w:val="0"/>
        <w:widowControl/>
        <w:kinsoku/>
        <w:wordWrap/>
        <w:overflowPunct/>
        <w:topLinePunct w:val="0"/>
        <w:autoSpaceDE/>
        <w:autoSpaceDN/>
        <w:bidi w:val="0"/>
        <w:adjustRightInd/>
        <w:snapToGrid/>
        <w:spacing w:line="579" w:lineRule="exact"/>
        <w:ind w:firstLineChars="200" w:firstLine="640"/>
        <w:jc w:val="both"/>
        <w:textAlignment w:val="auto"/>
        <w:rPr>
          <w:rFonts w:ascii="宋体" w:eastAsia="方正仿宋_GBK" w:cs="Times New Roman" w:hAnsi="宋体"/>
          <w:kern w:val="2"/>
          <w:sz w:val="32"/>
          <w:szCs w:val="32"/>
        </w:rPr>
      </w:pPr>
      <w:r>
        <w:rPr>
          <w:rFonts w:ascii="宋体" w:eastAsia="方正仿宋_GBK" w:cs="Times New Roman" w:hAnsi="宋体"/>
          <w:kern w:val="2"/>
          <w:sz w:val="32"/>
          <w:szCs w:val="32"/>
        </w:rPr>
        <w:t>按照国家有关信用联合奖惩对象名单管理制度的规定，在确定统计守信激励对象和统计失信惩戒对象前，先将联合奖惩对象初步名单与全国信用信息共享平台各领域守信名单和失信名单进行交叉比对，并履行告知或公示程序。规范名单信息的共享和发布，按照要求将认定的联合奖惩名单逐级报送上级统计机构和同级社会信用体系建设牵头部门，并将有关信息推送至全国信用信息共享平台。对联合奖惩名单应实施动态管理，确保名单信息的发布时限与名单的有效期保持一致。要加强个人隐私和信息安全保护，明确个人信息查询使用权限和程序，建立健全保障信息安全的规章制度，落实网络安全等级保护制度，加大对信用信息系统和平台的监管力度，保障信息主体合法权益，确保国家信息安全。</w:t>
        <w:br/>
        <w:t>　　</w:t>
      </w:r>
      <w:r>
        <w:rPr>
          <w:rFonts w:ascii="宋体" w:eastAsia="方正楷体_GBK" w:cs="Times New Roman" w:hAnsi="宋体"/>
          <w:sz w:val="32"/>
          <w:szCs w:val="32"/>
        </w:rPr>
        <w:t>（五）</w:t>
      </w:r>
      <w:r>
        <w:rPr>
          <w:rFonts w:ascii="宋体" w:eastAsia="方正楷体_GBK" w:cs="Times New Roman" w:hAnsi="宋体" w:hint="eastAsia"/>
          <w:sz w:val="32"/>
          <w:szCs w:val="32"/>
        </w:rPr>
        <w:t>及时更新维护</w:t>
      </w:r>
      <w:r>
        <w:rPr>
          <w:rFonts w:ascii="宋体" w:eastAsia="方正楷体_GBK" w:cs="Times New Roman" w:hAnsi="宋体"/>
          <w:sz w:val="32"/>
          <w:szCs w:val="32"/>
        </w:rPr>
        <w:t>统计信用信息化系统</w:t>
        <w:br/>
      </w:r>
      <w:r>
        <w:rPr>
          <w:rFonts w:ascii="宋体" w:eastAsia="方正仿宋_GBK" w:cs="Times New Roman" w:hAnsi="宋体"/>
          <w:kern w:val="2"/>
          <w:sz w:val="32"/>
          <w:szCs w:val="32"/>
        </w:rPr>
        <w:t>　　国家统计局建设全国统一的统计信用信息系统，制定统计信用信息数据标准，依法推进统计信用信息系统与其他部门信用信息系统互联互通、信息共享，为加快推进分步实施各级统计机构、联合惩戒部门实现信息互联互通的软硬件建设，提供强有力的技术支持。</w:t>
      </w:r>
      <w:r>
        <w:rPr>
          <w:rFonts w:ascii="宋体" w:eastAsia="方正仿宋_GBK" w:cs="Times New Roman" w:hAnsi="宋体" w:hint="eastAsia"/>
          <w:kern w:val="2"/>
          <w:sz w:val="32"/>
          <w:szCs w:val="32"/>
        </w:rPr>
        <w:t>区统计局应当</w:t>
      </w:r>
      <w:r>
        <w:rPr>
          <w:rFonts w:ascii="宋体" w:eastAsia="方正仿宋_GBK" w:cs="Times New Roman" w:hAnsi="宋体"/>
          <w:kern w:val="2"/>
          <w:sz w:val="32"/>
          <w:szCs w:val="32"/>
        </w:rPr>
        <w:t>将采集整理履职过程中获取的统计信用主体信息，认定企业统计信用状况，记录统计从业人员统计信用行为信息，</w:t>
      </w:r>
      <w:r>
        <w:rPr>
          <w:rFonts w:ascii="宋体" w:eastAsia="方正仿宋_GBK" w:cs="Times New Roman" w:hAnsi="宋体" w:hint="eastAsia"/>
          <w:kern w:val="2"/>
          <w:sz w:val="32"/>
          <w:szCs w:val="32"/>
        </w:rPr>
        <w:t>及时更新</w:t>
      </w:r>
      <w:r>
        <w:rPr>
          <w:rFonts w:ascii="宋体" w:eastAsia="方正仿宋_GBK" w:cs="Times New Roman" w:hAnsi="宋体"/>
          <w:kern w:val="2"/>
          <w:sz w:val="32"/>
          <w:szCs w:val="32"/>
        </w:rPr>
        <w:t>充实到统计信用信息基础数据库。　</w:t>
      </w:r>
    </w:p>
    <w:p>
      <w:pPr>
        <w:pStyle w:val="16"/>
        <w:keepNext w:val="0"/>
        <w:keepLines w:val="0"/>
        <w:pageBreakBefore w:val="0"/>
        <w:widowControl/>
        <w:shd w:val="clear" w:color="auto" w:fill="FFFFFF"/>
        <w:kinsoku/>
        <w:wordWrap/>
        <w:overflowPunct/>
        <w:topLinePunct w:val="0"/>
        <w:autoSpaceDE/>
        <w:autoSpaceDN/>
        <w:bidi w:val="0"/>
        <w:adjustRightInd/>
        <w:snapToGrid/>
        <w:spacing w:line="579" w:lineRule="exact"/>
        <w:ind w:firstLineChars="200" w:firstLine="640"/>
        <w:jc w:val="both"/>
        <w:textAlignment w:val="auto"/>
        <w:rPr>
          <w:rFonts w:ascii="宋体" w:eastAsia="方正仿宋_GBK" w:cs="Times New Roman" w:hAnsi="宋体" w:hint="eastAsia"/>
          <w:kern w:val="2"/>
          <w:sz w:val="32"/>
          <w:szCs w:val="32"/>
        </w:rPr>
      </w:pPr>
      <w:r>
        <w:rPr>
          <w:rFonts w:ascii="宋体" w:eastAsia="方正楷体_GBK" w:cs="Times New Roman" w:hAnsi="宋体"/>
          <w:sz w:val="32"/>
          <w:szCs w:val="32"/>
        </w:rPr>
        <w:t>（六）推动开展统计诚信承诺活动</w:t>
        <w:br/>
      </w:r>
      <w:r>
        <w:rPr>
          <w:rFonts w:ascii="宋体" w:eastAsia="方正仿宋_GBK" w:cs="Times New Roman" w:hAnsi="宋体"/>
          <w:kern w:val="2"/>
          <w:sz w:val="32"/>
          <w:szCs w:val="32"/>
        </w:rPr>
        <w:t>　　根据国家统计局和重庆市统计局统一部署，在统计系统和有关部门中组织开展遵守统计法、执行统计法、维护统计法守信践诺活动，广大政府统计人员就严格依法独立行使统计调查、统计报告、统计监督职权作出书面承诺，并在履职岗位显著位置予以标示。在企业事业单位和其他组织中开展独立真实报送统计资料守信践诺活动，统计从业人员就依法真实准确、完整及时提供统计调查所需资料作出书面承诺，并在履职岗位显著位置予以标示。违背承诺的，应当接受惩戒，并承担相应的违约和法律责任。建立健全守信践诺机制，准确记录并客观评价统计从业人员对承诺的履行情况。通过统计守信践诺活动，使统计从业人员进一步明确统计失信带来的严重后果，努力形成不敢统计失信、不能统计失信、不想统计失信的工作环境。</w:t>
      </w:r>
    </w:p>
    <w:p>
      <w:pPr>
        <w:pStyle w:val="16"/>
        <w:keepNext w:val="0"/>
        <w:keepLines w:val="0"/>
        <w:pageBreakBefore w:val="0"/>
        <w:widowControl/>
        <w:shd w:val="clear" w:color="auto" w:fill="FFFFFF"/>
        <w:kinsoku/>
        <w:wordWrap/>
        <w:overflowPunct/>
        <w:topLinePunct w:val="0"/>
        <w:autoSpaceDE/>
        <w:autoSpaceDN/>
        <w:bidi w:val="0"/>
        <w:adjustRightInd/>
        <w:snapToGrid/>
        <w:spacing w:line="579" w:lineRule="exact"/>
        <w:ind w:firstLineChars="200" w:firstLine="640"/>
        <w:jc w:val="both"/>
        <w:textAlignment w:val="auto"/>
        <w:rPr>
          <w:rFonts w:ascii="宋体" w:eastAsia="方正仿宋_GBK" w:cs="Times New Roman" w:hAnsi="宋体"/>
          <w:kern w:val="2"/>
          <w:sz w:val="32"/>
          <w:szCs w:val="32"/>
        </w:rPr>
      </w:pPr>
      <w:r>
        <w:rPr>
          <w:rFonts w:ascii="宋体" w:eastAsia="方正黑体_GBK" w:cs="Times New Roman" w:hAnsi="宋体"/>
          <w:sz w:val="32"/>
          <w:szCs w:val="32"/>
        </w:rPr>
        <w:t>四、</w:t>
      </w:r>
      <w:r>
        <w:rPr>
          <w:rFonts w:ascii="宋体" w:eastAsia="方正黑体_GBK" w:cs="Times New Roman" w:hAnsi="宋体" w:hint="eastAsia"/>
          <w:sz w:val="32"/>
          <w:szCs w:val="32"/>
        </w:rPr>
        <w:t>工作</w:t>
      </w:r>
      <w:r>
        <w:rPr>
          <w:rFonts w:ascii="宋体" w:eastAsia="方正黑体_GBK" w:cs="Times New Roman" w:hAnsi="宋体"/>
          <w:sz w:val="32"/>
          <w:szCs w:val="32"/>
        </w:rPr>
        <w:t>保障</w:t>
      </w:r>
      <w:r>
        <w:rPr>
          <w:rFonts w:ascii="宋体" w:eastAsia="方正仿宋_GBK" w:cs="Times New Roman" w:hAnsi="宋体"/>
          <w:kern w:val="2"/>
          <w:sz w:val="32"/>
          <w:szCs w:val="32"/>
        </w:rPr>
        <w:br/>
        <w:t>　　</w:t>
      </w:r>
      <w:r>
        <w:rPr>
          <w:rFonts w:ascii="宋体" w:eastAsia="方正仿宋_GBK" w:cs="Times New Roman" w:hAnsi="宋体" w:hint="eastAsia"/>
          <w:kern w:val="2"/>
          <w:sz w:val="32"/>
          <w:szCs w:val="32"/>
        </w:rPr>
        <w:t>要</w:t>
      </w:r>
      <w:r>
        <w:rPr>
          <w:rFonts w:ascii="宋体" w:eastAsia="方正仿宋_GBK" w:cs="Times New Roman" w:hAnsi="宋体"/>
          <w:kern w:val="2"/>
          <w:sz w:val="32"/>
          <w:szCs w:val="32"/>
        </w:rPr>
        <w:t>将统计信用建设工作纳入全</w:t>
      </w:r>
      <w:r>
        <w:rPr>
          <w:rFonts w:ascii="宋体" w:eastAsia="方正仿宋_GBK" w:cs="Times New Roman" w:hAnsi="宋体" w:hint="eastAsia"/>
          <w:kern w:val="2"/>
          <w:sz w:val="32"/>
          <w:szCs w:val="32"/>
        </w:rPr>
        <w:t>区统计</w:t>
      </w:r>
      <w:r>
        <w:rPr>
          <w:rFonts w:ascii="宋体" w:eastAsia="方正仿宋_GBK" w:cs="Times New Roman" w:hAnsi="宋体"/>
          <w:kern w:val="2"/>
          <w:sz w:val="32"/>
          <w:szCs w:val="32"/>
        </w:rPr>
        <w:t>工作</w:t>
      </w:r>
      <w:r>
        <w:rPr>
          <w:rFonts w:ascii="宋体" w:eastAsia="方正仿宋_GBK" w:cs="Times New Roman" w:hAnsi="宋体" w:hint="eastAsia"/>
          <w:kern w:val="2"/>
          <w:sz w:val="32"/>
          <w:szCs w:val="32"/>
        </w:rPr>
        <w:t>内容</w:t>
      </w:r>
      <w:r>
        <w:rPr>
          <w:rFonts w:ascii="宋体" w:eastAsia="方正仿宋_GBK" w:cs="Times New Roman" w:hAnsi="宋体"/>
          <w:kern w:val="2"/>
          <w:sz w:val="32"/>
          <w:szCs w:val="32"/>
        </w:rPr>
        <w:t>进行统筹规划，部署实施，积极为统计信用信息数据库建设、统计信用应用建设和宣传教育培训等各方面提供</w:t>
      </w:r>
      <w:r>
        <w:rPr>
          <w:rFonts w:ascii="宋体" w:eastAsia="方正仿宋_GBK" w:cs="Times New Roman" w:hAnsi="宋体" w:hint="eastAsia"/>
          <w:kern w:val="2"/>
          <w:sz w:val="32"/>
          <w:szCs w:val="32"/>
        </w:rPr>
        <w:t>人员、经费</w:t>
      </w:r>
      <w:r>
        <w:rPr>
          <w:rFonts w:ascii="宋体" w:eastAsia="方正仿宋_GBK" w:cs="Times New Roman" w:hAnsi="宋体"/>
          <w:kern w:val="2"/>
          <w:sz w:val="32"/>
          <w:szCs w:val="32"/>
        </w:rPr>
        <w:t>保障。区统计局主要负责人为统计信用建设工作第一责任人，分管负责人</w:t>
      </w:r>
      <w:r>
        <w:rPr>
          <w:rFonts w:ascii="宋体" w:eastAsia="方正仿宋_GBK" w:cs="Times New Roman" w:hAnsi="宋体" w:hint="eastAsia"/>
          <w:kern w:val="2"/>
          <w:sz w:val="32"/>
          <w:szCs w:val="32"/>
        </w:rPr>
        <w:t>具体负责</w:t>
      </w:r>
      <w:r>
        <w:rPr>
          <w:rFonts w:ascii="宋体" w:eastAsia="方正仿宋_GBK" w:cs="Times New Roman" w:hAnsi="宋体"/>
          <w:kern w:val="2"/>
          <w:sz w:val="32"/>
          <w:szCs w:val="32"/>
        </w:rPr>
        <w:t>。由执法检查机构牵头，各科、室、队积极配合共同实施。</w:t>
      </w:r>
    </w:p>
    <w:p>
      <w:pPr>
        <w:pStyle w:val="16"/>
        <w:keepNext w:val="0"/>
        <w:keepLines w:val="0"/>
        <w:pageBreakBefore w:val="0"/>
        <w:widowControl/>
        <w:shd w:val="clear" w:color="auto" w:fill="FFFFFF"/>
        <w:kinsoku/>
        <w:wordWrap/>
        <w:overflowPunct/>
        <w:topLinePunct w:val="0"/>
        <w:autoSpaceDE/>
        <w:autoSpaceDN/>
        <w:bidi w:val="0"/>
        <w:adjustRightInd/>
        <w:snapToGrid/>
        <w:spacing w:line="579" w:lineRule="exact"/>
        <w:ind w:firstLineChars="200" w:firstLine="640"/>
        <w:jc w:val="both"/>
        <w:textAlignment w:val="auto"/>
        <w:rPr>
          <w:rFonts w:ascii="宋体" w:eastAsia="方正仿宋_GBK" w:cs="Times New Roman" w:hAnsi="宋体" w:hint="eastAsia"/>
          <w:kern w:val="2"/>
          <w:sz w:val="32"/>
          <w:szCs w:val="32"/>
        </w:rPr>
      </w:pPr>
      <w:bookmarkStart w:id="1" w:name="bookmark55"/>
      <w:bookmarkEnd w:id="1"/>
      <w:r>
        <w:rPr>
          <w:rFonts w:ascii="宋体" w:eastAsia="方正仿宋_GBK" w:cs="Times New Roman" w:hAnsi="宋体" w:hint="eastAsia"/>
          <w:kern w:val="2"/>
          <w:sz w:val="32"/>
          <w:szCs w:val="32"/>
        </w:rPr>
        <w:t>同时，要</w:t>
      </w:r>
      <w:r>
        <w:rPr>
          <w:rFonts w:ascii="宋体" w:eastAsia="方正仿宋_GBK" w:cs="Times New Roman" w:hAnsi="宋体"/>
          <w:kern w:val="2"/>
          <w:sz w:val="32"/>
          <w:szCs w:val="32"/>
        </w:rPr>
        <w:t>通过各种渠道和形式，深入细致向</w:t>
      </w:r>
      <w:r>
        <w:rPr>
          <w:rFonts w:ascii="宋体" w:eastAsia="方正仿宋_GBK" w:cs="Times New Roman" w:hAnsi="宋体" w:hint="eastAsia"/>
          <w:kern w:val="2"/>
          <w:sz w:val="32"/>
          <w:szCs w:val="32"/>
        </w:rPr>
        <w:t>统计信用管理</w:t>
      </w:r>
      <w:r>
        <w:rPr>
          <w:rFonts w:ascii="宋体" w:eastAsia="方正仿宋_GBK" w:cs="Times New Roman" w:hAnsi="宋体"/>
          <w:kern w:val="2"/>
          <w:sz w:val="32"/>
          <w:szCs w:val="32"/>
        </w:rPr>
        <w:t>对象做好政策宣传解读工作，让其充分理解并积极配合以信用为基础的新型监管措施。重点加强对国家统计局《关于加强统计领域信用建设的若干意见》（国统字〔2017〕99号）、《企业统计信用管理办法（试行）》（国统字〔2017〕97号）和《统计从业人员统计信用档案管理办法（试行）》（国统字〔2017〕98号）宣传解读，使调查对象尤其是调查企业充分认识到建立统计信用的重要性，确保贯彻执行准确到位。</w:t>
      </w:r>
    </w:p>
    <w:p>
      <w:pPr>
        <w:pStyle w:val="16"/>
        <w:keepNext w:val="0"/>
        <w:keepLines w:val="0"/>
        <w:pageBreakBefore w:val="0"/>
        <w:widowControl/>
        <w:shd w:val="clear" w:color="auto" w:fill="FFFFFF"/>
        <w:kinsoku/>
        <w:wordWrap/>
        <w:overflowPunct/>
        <w:topLinePunct w:val="0"/>
        <w:autoSpaceDE/>
        <w:autoSpaceDN/>
        <w:bidi w:val="0"/>
        <w:adjustRightInd/>
        <w:snapToGrid/>
        <w:spacing w:line="579" w:lineRule="exact"/>
        <w:ind w:firstLineChars="200" w:firstLine="640"/>
        <w:jc w:val="both"/>
        <w:textAlignment w:val="auto"/>
        <w:rPr>
          <w:rFonts w:ascii="宋体" w:eastAsia="方正仿宋_GBK" w:cs="Times New Roman" w:hAnsi="宋体" w:hint="eastAsia"/>
          <w:kern w:val="2"/>
          <w:sz w:val="32"/>
          <w:szCs w:val="32"/>
        </w:rPr>
      </w:pPr>
    </w:p>
    <w:p>
      <w:pPr>
        <w:pStyle w:val="16"/>
        <w:keepNext w:val="0"/>
        <w:keepLines w:val="0"/>
        <w:pageBreakBefore w:val="0"/>
        <w:widowControl/>
        <w:shd w:val="clear" w:color="auto" w:fill="FFFFFF"/>
        <w:kinsoku/>
        <w:wordWrap/>
        <w:overflowPunct/>
        <w:topLinePunct w:val="0"/>
        <w:autoSpaceDE/>
        <w:autoSpaceDN/>
        <w:bidi w:val="0"/>
        <w:adjustRightInd/>
        <w:snapToGrid/>
        <w:spacing w:line="579" w:lineRule="exact"/>
        <w:ind w:firstLineChars="200" w:firstLine="640"/>
        <w:jc w:val="both"/>
        <w:textAlignment w:val="auto"/>
        <w:rPr>
          <w:rFonts w:ascii="宋体" w:eastAsia="方正仿宋_GBK" w:cs="Times New Roman" w:hAnsi="宋体" w:hint="eastAsia"/>
          <w:kern w:val="2"/>
          <w:sz w:val="32"/>
          <w:szCs w:val="32"/>
        </w:rPr>
      </w:pPr>
    </w:p>
    <w:p>
      <w:pPr>
        <w:pStyle w:val="16"/>
        <w:keepNext w:val="0"/>
        <w:keepLines w:val="0"/>
        <w:pageBreakBefore w:val="0"/>
        <w:widowControl/>
        <w:shd w:val="clear" w:color="auto" w:fill="FFFFFF"/>
        <w:kinsoku/>
        <w:wordWrap/>
        <w:overflowPunct/>
        <w:topLinePunct w:val="0"/>
        <w:autoSpaceDE/>
        <w:autoSpaceDN/>
        <w:bidi w:val="0"/>
        <w:adjustRightInd/>
        <w:snapToGrid/>
        <w:spacing w:line="579" w:lineRule="exact"/>
        <w:ind w:firstLineChars="1800" w:firstLine="5760"/>
        <w:jc w:val="both"/>
        <w:textAlignment w:val="auto"/>
        <w:rPr>
          <w:rFonts w:ascii="宋体" w:eastAsia="方正仿宋_GBK" w:hAnsi="宋体"/>
          <w:kern w:val="2"/>
          <w:sz w:val="32"/>
          <w:szCs w:val="32"/>
        </w:rPr>
      </w:pPr>
      <w:r>
        <w:rPr>
          <w:rFonts w:ascii="宋体" w:eastAsia="方正仿宋_GBK" w:hAnsi="宋体" w:hint="eastAsia"/>
          <w:kern w:val="2"/>
          <w:sz w:val="32"/>
          <w:szCs w:val="32"/>
        </w:rPr>
        <w:t>重庆市江津区统计局</w:t>
      </w:r>
    </w:p>
    <w:p>
      <w:pPr>
        <w:pStyle w:val="16"/>
        <w:keepNext w:val="0"/>
        <w:keepLines w:val="0"/>
        <w:pageBreakBefore w:val="0"/>
        <w:widowControl/>
        <w:shd w:val="clear" w:color="auto" w:fill="FFFFFF"/>
        <w:kinsoku/>
        <w:wordWrap/>
        <w:overflowPunct/>
        <w:topLinePunct w:val="0"/>
        <w:autoSpaceDE/>
        <w:autoSpaceDN/>
        <w:bidi w:val="0"/>
        <w:adjustRightInd/>
        <w:snapToGrid/>
        <w:spacing w:line="579" w:lineRule="exact"/>
        <w:ind w:firstLineChars="1900" w:firstLine="6080"/>
        <w:jc w:val="both"/>
        <w:textAlignment w:val="auto"/>
        <w:rPr>
          <w:rFonts w:ascii="宋体" w:eastAsia="方正仿宋_GBK" w:hAnsi="宋体" w:hint="eastAsia"/>
          <w:kern w:val="2"/>
          <w:sz w:val="32"/>
          <w:szCs w:val="32"/>
        </w:rPr>
      </w:pPr>
      <w:r>
        <w:rPr>
          <w:rFonts w:ascii="宋体" w:eastAsia="方正仿宋_GBK" w:hAnsi="宋体" w:hint="eastAsia"/>
          <w:kern w:val="2"/>
          <w:sz w:val="32"/>
          <w:szCs w:val="32"/>
        </w:rPr>
        <w:t>2021年5月15日</w:t>
      </w:r>
    </w:p>
    <w:p>
      <w:pPr>
        <w:pStyle w:val="16"/>
        <w:keepNext w:val="0"/>
        <w:keepLines w:val="0"/>
        <w:pageBreakBefore w:val="0"/>
        <w:widowControl/>
        <w:shd w:val="clear" w:color="auto" w:fill="FFFFFF"/>
        <w:kinsoku/>
        <w:wordWrap/>
        <w:overflowPunct/>
        <w:topLinePunct w:val="0"/>
        <w:autoSpaceDE/>
        <w:autoSpaceDN/>
        <w:bidi w:val="0"/>
        <w:adjustRightInd/>
        <w:snapToGrid/>
        <w:spacing w:line="594" w:lineRule="exact"/>
        <w:textAlignment w:val="auto"/>
        <w:rPr>
          <w:rFonts w:ascii="宋体" w:eastAsia="方正仿宋_GBK" w:cs="Times New Roman" w:hAnsi="宋体"/>
          <w:kern w:val="2"/>
          <w:sz w:val="32"/>
          <w:szCs w:val="32"/>
        </w:rPr>
      </w:pPr>
    </w:p>
    <w:p>
      <w:pPr>
        <w:pBdr>
          <w:top w:val="single" w:sz="4" w:space="2" w:color="auto"/>
          <w:bottom w:val="single" w:sz="4" w:space="0" w:color="auto"/>
        </w:pBdr>
        <w:snapToGrid w:val="0"/>
        <w:spacing w:line="264" w:lineRule="auto"/>
        <w:ind w:firstLineChars="50" w:firstLine="160"/>
        <w:rPr>
          <w:rFonts w:ascii="宋体" w:eastAsia="方正仿宋_GBK" w:cs="宋体" w:hAnsi="宋体" w:hint="eastAsia"/>
          <w:kern w:val="2"/>
          <w:sz w:val="32"/>
          <w:szCs w:val="32"/>
          <w:lang w:val="en-US" w:eastAsia="zh-CN" w:bidi="ar-SA"/>
        </w:rPr>
      </w:pPr>
      <w:r>
        <w:rPr>
          <w:rFonts w:ascii="宋体" w:eastAsia="方正仿宋_GBK" w:cs="宋体" w:hAnsi="宋体" w:hint="eastAsia"/>
          <w:kern w:val="2"/>
          <w:sz w:val="32"/>
          <w:szCs w:val="32"/>
          <w:lang w:val="en-US" w:eastAsia="zh-CN" w:bidi="ar-SA"/>
        </w:rPr>
        <mc:AlternateContent>
          <mc:Choice Requires="wps">
            <w:drawing>
              <wp:anchor distT="0" distB="0" distL="114298" distR="114298" simplePos="0" relativeHeight="12" behindDoc="0" locked="0" layoutInCell="1" hidden="0" allowOverlap="1">
                <wp:simplePos x="0" y="0"/>
                <wp:positionH relativeFrom="column">
                  <wp:posOffset>5053888</wp:posOffset>
                </wp:positionH>
                <wp:positionV relativeFrom="paragraph">
                  <wp:posOffset>4292757</wp:posOffset>
                </wp:positionV>
                <wp:extent cx="999490" cy="367030"/>
                <wp:effectExtent l="0" t="0" r="0" b="0"/>
                <wp:wrapNone/>
                <wp:docPr id="3" name="矩形 3"/>
                <wp:cNvGraphicFramePr>
                  <a:graphicFrameLocks noChangeAspect="0"/>
                </wp:cNvGraphicFramePr>
                <a:graphic>
                  <a:graphicData uri="http://schemas.microsoft.com/office/word/2010/wordprocessingShape">
                    <wps:wsp>
                      <wps:cNvSpPr/>
                      <wps:spPr>
                        <a:xfrm rot="0">
                          <a:off x="0" y="0"/>
                          <a:ext cx="999490" cy="367030"/>
                        </a:xfrm>
                        <a:prstGeom prst="rect"/>
                        <a:solidFill>
                          <a:srgbClr val="FFFFFF"/>
                        </a:solidFill>
                        <a:ln w="15875" cmpd="sng" cap="flat">
                          <a:solidFill>
                            <a:srgbClr val="FFFFFF"/>
                          </a:solidFill>
                          <a:prstDash val="solid"/>
                          <a:miter/>
                        </a:ln>
                      </wps:spPr>
                      <wps:bodyPr vert="horz" wrap="square" lIns="91440" tIns="45720" rIns="91440" bIns="45720" anchor="t" anchorCtr="0" upright="1">
                        <a:noAutofit/>
                      </wps:bodyPr>
                    </wps:wsp>
                  </a:graphicData>
                </a:graphic>
              </wp:anchor>
            </w:drawing>
          </mc:Choice>
          <mc:Fallback>
            <w:pict>
              <v:rect type="#_x0000_t1" id="矩形 4" o:spid="_x0000_s4" fillcolor="#FFFFFF" stroked="t" strokeweight="1.25pt" style="position:absolute;margin-left:397.94397pt;margin-top:338.01236pt;width:78.700005pt;height:28.900011pt;z-index:12;mso-position-horizontal:absolute;mso-position-vertical:absolute;mso-wrap-distance-left:8.999863pt;mso-wrap-distance-right:8.999863pt;">
                <v:stroke color="#FFFFFF"/>
              </v:rect>
            </w:pict>
          </mc:Fallback>
        </mc:AlternateContent>
      </w:r>
      <w:r>
        <w:rPr>
          <w:rFonts w:ascii="宋体" w:eastAsia="方正仿宋_GBK" w:cs="宋体" w:hAnsi="宋体" w:hint="eastAsia"/>
          <w:kern w:val="2"/>
          <w:sz w:val="32"/>
          <w:szCs w:val="32"/>
          <w:lang w:val="en-US" w:eastAsia="zh-CN" w:bidi="ar-SA"/>
        </w:rPr>
        <w:t>重庆市江津区统计局办公室           2021年5月15日印发</w:t>
      </w:r>
    </w:p>
    <w:sectPr>
      <w:footerReference w:type="default" r:id="rId2"/>
      <w:footerReference w:type="even" r:id="rId3"/>
      <w:pgSz w:w="11906" w:h="16838"/>
      <w:pgMar w:top="2098" w:right="1474" w:bottom="1985" w:left="1588" w:header="851" w:footer="992" w:gutter="0"/>
      <w:pgNumType w:fmt="numberInDash"/>
      <w:docGrid w:type="lines" w:linePitch="312" w:charSpace="0"/>
    </w:sectPr>
  </w:body>
</w:document>
</file>

<file path=word/fontTable.xml><?xml version="1.0" encoding="utf-8"?>
<w:fonts xmlns:w="http://schemas.openxmlformats.org/wordprocessingml/2006/main" xmlns:r="http://schemas.openxmlformats.org/officeDocument/2006/relationships">
  <w:font w:name="宋体">
    <w:panose1 w:val="02010600030101010101"/>
    <w:charset w:val="86"/>
    <w:family w:val="auto"/>
    <w:pitch w:val="variable"/>
    <w:sig w:usb0="00000003" w:usb1="288F0000" w:usb2="00000006" w:usb3="00000000" w:csb0="00040001" w:csb1="00000000"/>
  </w:font>
  <w:font w:name="方正小标宋_GBK">
    <w:panose1 w:val="03000509000000000000"/>
    <w:charset w:val="86"/>
    <w:family w:val="script"/>
    <w:pitch w:val="variable"/>
    <w:sig w:usb0="00000001" w:usb1="080E0000" w:usb2="00000000" w:usb3="00000000" w:csb0="00040000" w:csb1="00000000"/>
  </w:font>
  <w:font w:name="Calibri">
    <w:altName w:val="Segoe UI"/>
    <w:panose1 w:val="020F0502020204030204"/>
    <w:charset w:val="00"/>
    <w:family w:val="swiss"/>
    <w:pitch w:val="variable"/>
    <w:sig w:usb0="00000000" w:usb1="00000000" w:usb2="00000001" w:usb3="00000000" w:csb0="0000019F" w:csb1="00000000"/>
  </w:font>
  <w:font w:name="方正仿宋_GBK">
    <w:panose1 w:val="03000509000000000000"/>
    <w:charset w:val="86"/>
    <w:family w:val="script"/>
    <w:pitch w:val="variable"/>
    <w:sig w:usb0="00000001" w:usb1="080E0000" w:usb2="00000000" w:usb3="00000000" w:csb0="00040000" w:csb1="00000000"/>
  </w:font>
  <w:font w:name="Times New Roman">
    <w:panose1 w:val="02020603050405020304"/>
    <w:charset w:val="00"/>
    <w:family w:val="roman"/>
    <w:pitch w:val="variable"/>
    <w:sig w:usb0="20007A87" w:usb1="80000000" w:usb2="00000008" w:usb3="00000000" w:csb0="000001FF" w:csb1="00000000"/>
  </w:font>
  <w:font w:name="方正黑体_GBK">
    <w:panose1 w:val="03000509000000000000"/>
    <w:charset w:val="86"/>
    <w:family w:val="script"/>
    <w:pitch w:val="variable"/>
    <w:sig w:usb0="00000001" w:usb1="080E0000" w:usb2="00000000" w:usb3="00000000" w:csb0="00040000" w:csb1="00000000"/>
  </w:font>
  <w:font w:name="方正楷体_GBK">
    <w:panose1 w:val="03000509000000000000"/>
    <w:charset w:val="86"/>
    <w:family w:val="script"/>
    <w:pitch w:val="variable"/>
    <w:sig w:usb0="00000001" w:usb1="080E0000" w:usb2="00000000" w:usb3="00000000" w:csb0="00040000" w:csb1="00000000"/>
  </w:font>
  <w:font w:name="Arial">
    <w:panose1 w:val="020B0604020202020204"/>
    <w:charset w:val="01"/>
    <w:family w:val="swiss"/>
    <w:pitch w:val="variable"/>
    <w:sig w:usb0="E0002EFF" w:usb1="C000785B" w:usb2="00000009" w:usb3="00000000" w:csb0="400001FF" w:csb1="FFFF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w:p>
    <w:pPr>
      <w:pStyle w:val="19"/>
      <w:tabs>
        <w:tab w:val="center" w:pos="4153"/>
        <w:tab w:val="right" w:pos="8306"/>
      </w:tabs>
      <w:jc w:val="right"/>
      <w:rPr>
        <w:rFonts w:ascii="宋体"/>
        <w:sz w:val="28"/>
        <w:szCs w:val="28"/>
      </w:rPr>
    </w:pPr>
    <w:r>
      <w:rPr>
        <w:rFonts w:ascii="宋体"/>
        <w:sz w:val="28"/>
        <w:szCs w:val="28"/>
      </w:rPr>
      <w:fldChar w:fldCharType="begin"/>
    </w:r>
    <w:r>
      <w:rPr>
        <w:rFonts w:ascii="宋体"/>
        <w:sz w:val="28"/>
        <w:szCs w:val="28"/>
      </w:rPr>
      <w:instrText>PAGE   \* MERGEFORMAT</w:instrText>
    </w:r>
    <w:r>
      <w:rPr>
        <w:rFonts w:ascii="宋体"/>
        <w:sz w:val="28"/>
        <w:szCs w:val="28"/>
      </w:rPr>
      <w:fldChar w:fldCharType="separate"/>
    </w:r>
    <w:r>
      <w:rPr>
        <w:rFonts w:ascii="宋体"/>
        <w:sz w:val="28"/>
        <w:szCs w:val="28"/>
        <w:lang w:val="zh-CN"/>
      </w:rPr>
      <w:t>-</w:t>
    </w:r>
    <w:r>
      <w:rPr>
        <w:rFonts w:ascii="宋体"/>
        <w:sz w:val="28"/>
        <w:szCs w:val="28"/>
      </w:rPr>
      <w:t xml:space="preserve"> 7 -</w:t>
    </w:r>
    <w:r>
      <w:rPr>
        <w:rFonts w:ascii="宋体"/>
        <w:sz w:val="28"/>
        <w:szCs w:val="28"/>
      </w:rPr>
      <w:fldChar w:fldCharType="end"/>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w:p>
    <w:pPr>
      <w:pStyle w:val="19"/>
      <w:tabs>
        <w:tab w:val="center" w:pos="4153"/>
        <w:tab w:val="right" w:pos="8306"/>
      </w:tabs>
      <w:rPr>
        <w:rFonts w:ascii="宋体"/>
        <w:sz w:val="28"/>
        <w:szCs w:val="28"/>
      </w:rPr>
    </w:pPr>
    <w:r>
      <w:rPr>
        <w:rFonts w:ascii="宋体"/>
        <w:sz w:val="28"/>
        <w:szCs w:val="28"/>
      </w:rPr>
      <w:fldChar w:fldCharType="begin"/>
    </w:r>
    <w:r>
      <w:rPr>
        <w:rFonts w:ascii="宋体"/>
        <w:sz w:val="28"/>
        <w:szCs w:val="28"/>
      </w:rPr>
      <w:instrText>PAGE   \* MERGEFORMAT</w:instrText>
    </w:r>
    <w:r>
      <w:rPr>
        <w:rFonts w:ascii="宋体"/>
        <w:sz w:val="28"/>
        <w:szCs w:val="28"/>
      </w:rPr>
      <w:fldChar w:fldCharType="separate"/>
    </w:r>
    <w:r>
      <w:rPr>
        <w:rFonts w:ascii="宋体"/>
        <w:sz w:val="28"/>
        <w:szCs w:val="28"/>
        <w:lang w:val="zh-CN"/>
      </w:rPr>
      <w:t>-</w:t>
    </w:r>
    <w:r>
      <w:rPr>
        <w:rFonts w:ascii="宋体"/>
        <w:sz w:val="28"/>
        <w:szCs w:val="28"/>
      </w:rPr>
      <w:t xml:space="preserve"> 8 -</w:t>
    </w:r>
    <w:r>
      <w:rPr>
        <w:rFonts w:ascii="宋体"/>
        <w:sz w:val="28"/>
        <w:szCs w:val="28"/>
      </w:rPr>
      <w:fldChar w:fldCharType="end"/>
    </w: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val="0"/>
  <w:bordersDoNotSurroundFooter w:val="0"/>
  <w:defaultTabStop w:val="420"/>
  <w:evenAndOddHeaders/>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ulTrailSpace/>
    <w:doNotExpandShiftReturn/>
    <w:adjustLineHeightInTable/>
    <w:growAutofit/>
    <w:useAltKinsokuLineBreakRules/>
    <w:splitPgBreakAndParaMark/>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Arial" w:hAnsi="Calibri"/>
      <w:kern w:val="2"/>
      <w:sz w:val="21"/>
      <w:szCs w:val="22"/>
      <w:lang w:val="en-US" w:eastAsia="zh-CN" w:bidi="ar-SA"/>
    </w:rPr>
  </w:style>
  <w:style w:type="character" w:default="1" w:styleId="10">
    <w:name w:val="Default Paragraph Font"/>
  </w:style>
  <w:style w:type="paragraph" w:styleId="15">
    <w:name w:val="Body Text"/>
    <w:basedOn w:val="0"/>
    <w:next w:val="16"/>
    <w:pPr>
      <w:keepNext w:val="0"/>
      <w:keepLines w:val="0"/>
      <w:widowControl w:val="0"/>
      <w:suppressLineNumbers w:val="0"/>
      <w:spacing w:before="0" w:beforeAutospacing="0" w:after="120" w:afterAutospacing="0" w:line="240" w:lineRule="auto"/>
      <w:ind w:left="0" w:firstLine="0"/>
      <w:jc w:val="both"/>
    </w:pPr>
    <w:rPr>
      <w:rFonts w:ascii="Times New Roman" w:eastAsia="宋体" w:cs="Times New Roman" w:hAnsi="Times New Roman"/>
      <w:kern w:val="2"/>
      <w:sz w:val="21"/>
      <w:szCs w:val="24"/>
      <w:lang w:val="en-US" w:eastAsia="zh-CN"/>
    </w:rPr>
  </w:style>
  <w:style w:type="paragraph" w:styleId="16">
    <w:name w:val="Normal (Web)"/>
    <w:basedOn w:val="0"/>
    <w:pPr>
      <w:widowControl/>
      <w:jc w:val="left"/>
    </w:pPr>
    <w:rPr>
      <w:rFonts w:ascii="宋体" w:eastAsia="宋体" w:cs="宋体"/>
      <w:kern w:val="0"/>
      <w:sz w:val="24"/>
      <w:szCs w:val="24"/>
    </w:rPr>
  </w:style>
  <w:style w:type="paragraph" w:styleId="17">
    <w:name w:val="Body Text Indent"/>
    <w:basedOn w:val="0"/>
    <w:pPr>
      <w:ind w:firstLineChars="200" w:firstLine="200"/>
    </w:pPr>
    <w:rPr>
      <w:rFonts w:ascii="方正仿宋_GBK" w:eastAsia="方正仿宋_GBK" w:cs="Times New Roman"/>
      <w:sz w:val="32"/>
      <w:szCs w:val="28"/>
    </w:rPr>
  </w:style>
  <w:style w:type="paragraph" w:styleId="18">
    <w:name w:val="Date"/>
    <w:basedOn w:val="0"/>
    <w:next w:val="0"/>
    <w:pPr>
      <w:ind w:leftChars="2500" w:left="2500"/>
    </w:pPr>
  </w:style>
  <w:style w:type="paragraph" w:styleId="19">
    <w:name w:val="footer"/>
    <w:basedOn w:val="0"/>
    <w:pPr>
      <w:tabs>
        <w:tab w:val="center" w:pos="4153"/>
        <w:tab w:val="right" w:pos="8306"/>
      </w:tabs>
      <w:snapToGrid w:val="0"/>
      <w:jc w:val="left"/>
    </w:pPr>
    <w:rPr>
      <w:sz w:val="18"/>
      <w:szCs w:val="18"/>
    </w:rPr>
  </w:style>
  <w:style w:type="paragraph" w:styleId="20">
    <w:name w:val="header"/>
    <w:basedOn w:val="0"/>
    <w:pPr>
      <w:pBdr>
        <w:bottom w:val="single" w:sz="6" w:space="1" w:color="auto"/>
      </w:pBdr>
      <w:tabs>
        <w:tab w:val="center" w:pos="4153"/>
        <w:tab w:val="right" w:pos="8306"/>
      </w:tabs>
      <w:snapToGrid w:val="0"/>
      <w:jc w:val="center"/>
    </w:pPr>
    <w:rPr>
      <w:sz w:val="18"/>
      <w:szCs w:val="18"/>
    </w:rPr>
  </w:style>
  <w:style w:type="character" w:styleId="21">
    <w:name w:val="Strong"/>
    <w:basedOn w:val="10"/>
    <w:rPr>
      <w:b/>
      <w:bCs/>
    </w:rPr>
  </w:style>
  <w:style w:type="character" w:styleId="22">
    <w:name w:val="page number"/>
    <w:basedOn w:val="10"/>
  </w:style>
  <w:style w:type="character" w:styleId="23">
    <w:name w:val="Hyperlink"/>
    <w:basedOn w:val="10"/>
    <w:rPr>
      <w:color w:val="000000"/>
      <w:u w:val="none"/>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s>
</file>

<file path=docProps/app.xml><?xml version="1.0" encoding="utf-8"?>
<Properties xmlns="http://schemas.openxmlformats.org/officeDocument/2006/extended-properties">
  <Template>Normal.eit</Template>
  <TotalTime>323</TotalTime>
  <Application>Yozo_Office</Application>
  <Pages>6</Pages>
  <Words>2947</Words>
  <Characters>2978</Characters>
  <Lines>129</Lines>
  <Paragraphs>25</Paragraphs>
  <CharactersWithSpaces>3007</CharactersWithSpaces>
  <Company>Microsoft</Company>
</Properties>
</file>

<file path=docProps/core.xml><?xml version="1.0" encoding="utf-8"?>
<cp:coreProperties xmlns:cp="http://schemas.openxmlformats.org/package/2006/metadata/core-properties" xmlns:dc="http://purl.org/dc/elements/1.1/" xmlns:dcterms="http://purl.org/dc/terms/" xmlns:xsi="http://www.w3.org/2001/XMLSchema-instance">
  <dc:creator>acer</dc:creator>
  <cp:lastModifiedBy>Microsoft</cp:lastModifiedBy>
  <cp:revision>4</cp:revision>
  <cp:lastPrinted>2021-05-26T02:12:50Z</cp:lastPrinted>
  <dcterms:created xsi:type="dcterms:W3CDTF">2021-05-18T07:42:00Z</dcterms:created>
  <dcterms:modified xsi:type="dcterms:W3CDTF">2021-05-27T02:22:50Z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2052-11.1.0.10495</vt:lpwstr>
  </property>
  <property fmtid="{D5CDD505-2E9C-101B-9397-08002B2CF9AE}" pid="3" name="ICV">
    <vt:lpwstr>3EF85DA8D15D43C785CDA5C195867286</vt:lpwstr>
  </property>
</Properties>
</file>