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widowControl/>
        <w:shd w:val="clear" w:color="auto" w:fill="FFFFFF"/>
        <w:autoSpaceDN w:val="0"/>
        <w:spacing w:after="240" w:line="480" w:lineRule="atLeast"/>
        <w:jc w:val="center"/>
        <w:outlineLvl w:val="0"/>
        <w:rPr>
          <w:rFonts w:ascii="方正小标宋_GBK" w:eastAsia="方正小标宋_GBK" w:cs="宋体" w:hint="eastAsia"/>
          <w:color w:val="222222"/>
          <w:kern w:val="36"/>
          <w:sz w:val="36"/>
          <w:szCs w:val="36"/>
        </w:rPr>
      </w:pPr>
      <w:r>
        <w:rPr>
          <w:rFonts w:ascii="方正小标宋_GBK" w:eastAsia="方正小标宋_GBK" w:cs="宋体" w:hint="eastAsia"/>
          <w:color w:val="222222"/>
          <w:kern w:val="36"/>
          <w:sz w:val="36"/>
          <w:szCs w:val="36"/>
        </w:rPr>
        <w:t>2023年</w:t>
      </w:r>
      <w:r>
        <w:rPr>
          <w:rFonts w:ascii="方正小标宋_GBK" w:eastAsia="方正小标宋_GBK" w:cs="宋体"/>
          <w:color w:val="222222"/>
          <w:kern w:val="36"/>
          <w:sz w:val="36"/>
          <w:szCs w:val="36"/>
        </w:rPr>
        <w:t>上半年</w:t>
      </w:r>
      <w:r>
        <w:rPr>
          <w:rFonts w:ascii="方正小标宋_GBK" w:eastAsia="方正小标宋_GBK" w:cs="宋体" w:hint="eastAsia"/>
          <w:color w:val="222222"/>
          <w:kern w:val="36"/>
          <w:sz w:val="36"/>
          <w:szCs w:val="36"/>
        </w:rPr>
        <w:t>江津区经济社会发展情况简析</w:t>
      </w:r>
      <w:bookmarkStart w:id="0" w:name="_GoBack"/>
      <w:bookmarkEnd w:id="0"/>
    </w:p>
    <w:p>
      <w:pPr>
        <w:spacing w:line="579" w:lineRule="exact"/>
        <w:ind w:firstLine="640"/>
        <w:rPr>
          <w:rFonts w:hint="eastAsia"/>
        </w:rPr>
      </w:pPr>
      <w:r>
        <w:rPr>
          <w:rFonts w:ascii="Times New Roman" w:cs="方正仿宋_GBK" w:hAnsi="Times New Roman" w:hint="eastAsia"/>
          <w:color w:val="000000"/>
          <w:szCs w:val="32"/>
        </w:rPr>
        <w:t>今年以来，全区继续深入贯彻落实习近平总书记重要指示精神，认真落实市委市政府各项部署要求，坚持稳中求进工作总基调，全区经济运行呈现持续回升向好、质量效益提升的良好态势，高质量发展稳步推进，主要经济指标全面恢复性增长。</w:t>
      </w:r>
    </w:p>
    <w:p>
      <w:pPr>
        <w:pStyle w:val="15"/>
        <w:tabs>
          <w:tab w:val="left" w:pos="0"/>
        </w:tabs>
        <w:overflowPunct w:val="0"/>
        <w:topLinePunct/>
        <w:spacing w:line="579" w:lineRule="exact"/>
        <w:ind w:firstLine="640"/>
        <w:rPr>
          <w:rFonts w:ascii="Times New Roman" w:eastAsia="方正仿宋_GBK" w:cs="方正仿宋_GBK" w:hAnsi="Times New Roman" w:hint="eastAsia"/>
        </w:rPr>
      </w:pPr>
      <w:r>
        <w:rPr>
          <w:rFonts w:ascii="Times New Roman" w:eastAsia="方正仿宋_GBK" w:cs="方正仿宋_GBK" w:hAnsi="Times New Roman" w:hint="eastAsia"/>
        </w:rPr>
        <w:t>上半年，全区实现地区生产总值（GDP）658.1亿元，按可比价计算，同比增长5.6%。分产业看，第一产业实现增加值49.5亿元，增长4.1%；第二产业实现增加值383.0亿元，增长6.3%；第三产业实现增加值225.7亿元，增长4.7%。</w:t>
      </w:r>
    </w:p>
    <w:p>
      <w:pPr>
        <w:snapToGrid w:val="0"/>
        <w:spacing w:line="579" w:lineRule="exact"/>
        <w:ind w:left="640"/>
        <w:rPr>
          <w:rFonts w:ascii="Times New Roman" w:cs="方正仿宋_GBK" w:hAnsi="Times New Roman" w:hint="eastAsia"/>
          <w:color w:val="000000"/>
          <w:szCs w:val="32"/>
        </w:rPr>
      </w:pPr>
      <w:r>
        <w:rPr>
          <w:rFonts w:ascii="Times New Roman" w:eastAsia="方正黑体_GBK" w:cs="方正黑体_GBK" w:hAnsi="Times New Roman" w:hint="eastAsia"/>
          <w:color w:val="000000"/>
          <w:szCs w:val="32"/>
          <w:lang w:val="zh-TW"/>
        </w:rPr>
        <w:t>一、</w:t>
      </w:r>
      <w:r>
        <w:rPr>
          <w:rFonts w:ascii="Times New Roman" w:eastAsia="方正黑体_GBK" w:cs="方正黑体_GBK" w:hAnsi="Times New Roman" w:hint="eastAsia"/>
          <w:color w:val="000000"/>
          <w:szCs w:val="32"/>
          <w:lang w:val="zh-TW" w:eastAsia="zh-TW"/>
        </w:rPr>
        <w:t>农业生产形势较好</w:t>
      </w:r>
    </w:p>
    <w:p>
      <w:pPr>
        <w:tabs>
          <w:tab w:val="left" w:pos="0"/>
        </w:tabs>
        <w:snapToGrid w:val="0"/>
        <w:spacing w:line="579" w:lineRule="exact"/>
        <w:ind w:firstLineChars="200" w:firstLine="640"/>
        <w:rPr>
          <w:rFonts w:ascii="Times New Roman" w:cs="方正仿宋_GBK" w:hAnsi="Times New Roman" w:hint="eastAsia"/>
          <w:color w:val="000000"/>
          <w:szCs w:val="32"/>
        </w:rPr>
      </w:pPr>
      <w:r>
        <w:rPr>
          <w:rFonts w:ascii="Times New Roman" w:cs="方正仿宋_GBK" w:hAnsi="Times New Roman" w:hint="eastAsia"/>
          <w:color w:val="000000"/>
          <w:szCs w:val="32"/>
        </w:rPr>
        <w:t>上半年，全区农业农村经济呈稳中有进、逐步回升态势，实现农业总产值72.2亿元，同比增长4.1%，农业总产值继续保持全市第一位。</w:t>
      </w:r>
    </w:p>
    <w:p>
      <w:pPr>
        <w:overflowPunct w:val="0"/>
        <w:topLinePunct/>
        <w:spacing w:line="579" w:lineRule="exact"/>
        <w:ind w:firstLineChars="200" w:firstLine="640"/>
        <w:rPr>
          <w:rFonts w:ascii="Times New Roman" w:eastAsia="方正黑体_GBK" w:cs="方正黑体_GBK" w:hAnsi="Times New Roman" w:hint="eastAsia"/>
          <w:color w:val="000000"/>
          <w:szCs w:val="32"/>
        </w:rPr>
      </w:pPr>
      <w:r>
        <w:rPr>
          <w:rFonts w:ascii="Times New Roman" w:eastAsia="方正黑体_GBK" w:cs="方正黑体_GBK" w:hAnsi="Times New Roman" w:hint="eastAsia"/>
          <w:color w:val="000000"/>
          <w:szCs w:val="32"/>
        </w:rPr>
        <w:t>二、工业经济平稳增长</w:t>
      </w:r>
    </w:p>
    <w:p>
      <w:pPr>
        <w:overflowPunct w:val="0"/>
        <w:topLinePunct/>
        <w:spacing w:line="579" w:lineRule="exact"/>
        <w:ind w:firstLineChars="200" w:firstLine="640"/>
        <w:rPr>
          <w:rFonts w:ascii="Times New Roman" w:cs="方正仿宋_GBK" w:hAnsi="Times New Roman" w:hint="eastAsia"/>
        </w:rPr>
      </w:pPr>
      <w:r>
        <w:rPr>
          <w:rFonts w:ascii="Times New Roman" w:cs="方正仿宋_GBK" w:hAnsi="Times New Roman" w:hint="eastAsia"/>
        </w:rPr>
        <w:t>上半年，全区实现工业增加值302.7亿元，同比增长5.7%，对GDP增长的贡献率达46.9%。规上工业总产值895.8亿元，汽摩、电子、装备、材料和消费品五大支柱产业产值同比增长4.8%。</w:t>
      </w:r>
    </w:p>
    <w:p>
      <w:pPr>
        <w:spacing w:line="579" w:lineRule="exact"/>
        <w:ind w:left="640"/>
        <w:rPr>
          <w:rFonts w:ascii="Times New Roman" w:eastAsia="方正黑体_GBK" w:cs="方正黑体_GBK" w:hAnsi="Times New Roman" w:hint="eastAsia"/>
          <w:color w:val="000000"/>
          <w:szCs w:val="32"/>
        </w:rPr>
      </w:pPr>
      <w:r>
        <w:rPr>
          <w:rFonts w:ascii="Times New Roman" w:eastAsia="方正黑体_GBK" w:cs="方正黑体_GBK" w:hAnsi="Times New Roman" w:hint="eastAsia"/>
          <w:color w:val="000000"/>
          <w:szCs w:val="32"/>
        </w:rPr>
        <w:t>三、固定投资规模稳定扩大</w:t>
      </w:r>
    </w:p>
    <w:p>
      <w:pPr>
        <w:pStyle w:val="15"/>
        <w:overflowPunct w:val="0"/>
        <w:topLinePunct/>
        <w:spacing w:line="579" w:lineRule="exact"/>
        <w:ind w:firstLineChars="200" w:firstLine="640"/>
        <w:rPr>
          <w:rFonts w:ascii="Times New Roman" w:eastAsia="方正仿宋_GBK" w:cs="方正仿宋_GBK" w:hAnsi="Times New Roman" w:hint="eastAsia"/>
        </w:rPr>
      </w:pPr>
      <w:r>
        <w:rPr>
          <w:rFonts w:ascii="Times New Roman" w:eastAsia="方正仿宋_GBK" w:cs="方正仿宋_GBK" w:hAnsi="Times New Roman" w:hint="eastAsia"/>
        </w:rPr>
        <w:t>上半年，全区固定资产投资同比增长10.5%，比全市和全国分别高9.1和6.7个百分点。其中工业投资增长11.0%，比全市和全国分别高2.2和2.1个百分点。</w:t>
      </w:r>
    </w:p>
    <w:p>
      <w:pPr>
        <w:pStyle w:val="15"/>
        <w:overflowPunct w:val="0"/>
        <w:topLinePunct/>
        <w:spacing w:line="579" w:lineRule="exact"/>
        <w:ind w:firstLineChars="200" w:firstLine="640"/>
        <w:rPr>
          <w:rFonts w:ascii="方正黑体_GBK" w:eastAsia="方正黑体_GBK" w:cs="方正黑体_GBK" w:hint="eastAsia"/>
        </w:rPr>
      </w:pPr>
      <w:r>
        <w:rPr>
          <w:rFonts w:ascii="方正黑体_GBK" w:eastAsia="方正黑体_GBK" w:cs="方正仿宋_GBK" w:hint="eastAsia"/>
        </w:rPr>
        <w:t>四、</w:t>
      </w:r>
      <w:r>
        <w:rPr>
          <w:rFonts w:ascii="方正黑体_GBK" w:eastAsia="方正黑体_GBK" w:cs="方正黑体_GBK" w:hint="eastAsia"/>
        </w:rPr>
        <w:t>消费市场明显恢复</w:t>
      </w:r>
    </w:p>
    <w:p>
      <w:pPr>
        <w:pStyle w:val="15"/>
        <w:overflowPunct w:val="0"/>
        <w:topLinePunct/>
        <w:spacing w:line="579" w:lineRule="exact"/>
        <w:ind w:firstLineChars="200" w:firstLine="640"/>
        <w:rPr>
          <w:rFonts w:ascii="Times New Roman" w:eastAsia="方正仿宋_GBK" w:cs="方正仿宋_GBK" w:hAnsi="Times New Roman" w:hint="eastAsia"/>
        </w:rPr>
      </w:pPr>
      <w:r>
        <w:rPr>
          <w:rFonts w:ascii="Times New Roman" w:eastAsia="方正仿宋_GBK" w:cs="方正仿宋_GBK" w:hAnsi="Times New Roman" w:hint="eastAsia"/>
        </w:rPr>
        <w:t>上半年，全区实现社会消费品零售总额234.3亿元，同比增长8.2%，增速与全国持平，比全市高2.0个百分点。批发零售业商品销售额增长13.6%，住宿餐饮业营业额增长14.8%。限额以上批发和零售企业通过互联网实现的商品零售额增长44.3%。</w:t>
      </w:r>
    </w:p>
    <w:p>
      <w:pPr>
        <w:pStyle w:val="15"/>
        <w:overflowPunct w:val="0"/>
        <w:topLinePunct/>
        <w:spacing w:line="579" w:lineRule="exact"/>
        <w:ind w:firstLineChars="200" w:firstLine="640"/>
        <w:rPr>
          <w:rFonts w:ascii="Times New Roman" w:eastAsia="方正仿宋_GBK" w:cs="方正仿宋_GBK" w:hAnsi="Times New Roman" w:hint="eastAsia"/>
        </w:rPr>
      </w:pPr>
      <w:r>
        <w:rPr>
          <w:rFonts w:ascii="Times New Roman" w:eastAsia="方正仿宋_GBK" w:cs="方正仿宋_GBK" w:hAnsi="Times New Roman" w:hint="eastAsia"/>
        </w:rPr>
        <w:t>总的来看，上半年全区经济保持了稳中有进的向好态势，高质量发展不断取得新成效。但也要看到，当前外部环境依然复杂严峻，需求不足的制约尚存，推动经济持续向好的基础仍需巩固。下阶段，全区上下要保持战略定力、增强发展信心，锚定高质量发展目标任务不动摇，找准着力点、选准突破口，推动经济结构持续向优、增长动能持续增强、发展态势持续向好，续写江津高质量发展新篇章。</w:t>
      </w:r>
    </w:p>
    <w:p>
      <w:pPr>
        <w:spacing w:line="560" w:lineRule="exact"/>
      </w:pPr>
    </w:p>
    <w:sectPr>
      <w:pgSz w:w="11906" w:h="16838"/>
      <w:pgMar w:top="2098" w:right="1474" w:bottom="1985" w:left="1588" w:header="851" w:footer="992" w:gutter="0"/>
      <w:docGrid w:type="lines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宋体" w:eastAsia="方正仿宋_GBK" w:cs="Times New Roman" w:hAnsi="宋体"/>
      <w:kern w:val="2"/>
      <w:sz w:val="32"/>
      <w:szCs w:val="24"/>
      <w:lang w:val="en-US" w:eastAsia="zh-CN" w:bidi="ar-SA"/>
    </w:rPr>
  </w:style>
  <w:style w:type="character" w:default="1" w:styleId="10">
    <w:name w:val="Default Paragraph Font"/>
  </w:style>
  <w:style w:type="paragraph" w:customStyle="1" w:styleId="15">
    <w:name w:val="正文 A"/>
    <w:pPr>
      <w:widowControl w:val="0"/>
      <w:jc w:val="both"/>
    </w:pPr>
    <w:rPr>
      <w:rFonts w:ascii="Calibri" w:eastAsia="Calibri" w:cs="Calibri" w:hAnsi="Calibri"/>
      <w:color w:val="000000"/>
      <w:kern w:val="2"/>
      <w:sz w:val="32"/>
      <w:szCs w:val="32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22</TotalTime>
  <Application>Yozo_Office</Application>
  <Pages>2</Pages>
  <Words>724</Words>
  <Characters>819</Characters>
  <Lines>33</Lines>
  <Paragraphs>12</Paragraphs>
  <CharactersWithSpaces>819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Microsoft</cp:lastModifiedBy>
  <cp:revision>1</cp:revision>
  <dcterms:created xsi:type="dcterms:W3CDTF">2023-08-14T09:31:00Z</dcterms:created>
  <dcterms:modified xsi:type="dcterms:W3CDTF">2023-11-21T06:48:23Z</dcterms:modified>
</cp:coreProperties>
</file>