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2023年一季度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经济运行简况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根据地区生产总值统一核算结果，一季度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，全区实现地区生产总值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.9亿元，按可比价格计算，同比增长6.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%。分产业看，第一产业实现增加值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.2亿元，增长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%；第二产业实现增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178.6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%，其中工业增加值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151.6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亿元，增长8.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%；第三产业实现增加值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114.1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一、农业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实现农业增加值1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.4亿元，同比增长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%。全区蔬菜产量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万吨，同比增长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%；生猪出栏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万头，同比增长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%；家禽出栏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307.0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万只，同比增长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.5%。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，全区规模以上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增加值同比增长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规模以上工业企业营业收入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402.6亿元，同比增长6.4%。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三、固定资产投资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，全区固定资产投资总额同比增长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%。其中工业投资增长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四、消费品市场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，全区社会消费品零售总额同比增长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%。批发业商品销售额同比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16.5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；零售业商品销售额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同比增长12.1%；住宿业营业额同比增长15.5%；餐饮业营业额同比增长16.3%。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五、金融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3月末，全区金融机构人民币存款余额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1457.4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%；人民币贷款余额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1120.0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亿元，同比增长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、房地产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一季度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，全区房地产开发投资额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41.4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亿元，同比下降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%；商品房销售面积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万平方米，同比下降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30.1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七、居民收入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一季度，全区城镇常住居民人均可支配收入13193元，同比增长2.9%；农村常住居民人均可支配收入7818元，同比增长5.3%。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DZmOTBiOTdmODEzZmYxNjI3OGMwNzk2MTZkYjAifQ=="/>
  </w:docVars>
  <w:rsids>
    <w:rsidRoot w:val="2B5A6D3F"/>
    <w:rsid w:val="0C477187"/>
    <w:rsid w:val="0FAE4BF1"/>
    <w:rsid w:val="29DF5A8C"/>
    <w:rsid w:val="2A8C6878"/>
    <w:rsid w:val="2B5A6D3F"/>
    <w:rsid w:val="46584A78"/>
    <w:rsid w:val="64FF31A6"/>
    <w:rsid w:val="680F2464"/>
    <w:rsid w:val="6BF67ACA"/>
    <w:rsid w:val="712F0C46"/>
    <w:rsid w:val="71897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657</Characters>
  <Lines>0</Lines>
  <Paragraphs>0</Paragraphs>
  <TotalTime>67</TotalTime>
  <ScaleCrop>false</ScaleCrop>
  <LinksUpToDate>false</LinksUpToDate>
  <CharactersWithSpaces>665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2021-02-03T06:30:00Z</dcterms:created>
  <dc:creator>木瓜Ⅰ</dc:creator>
  <cp:lastModifiedBy>TJ1</cp:lastModifiedBy>
  <cp:lastPrinted>2023-04-27T08:43:31Z</cp:lastPrinted>
  <dcterms:modified xsi:type="dcterms:W3CDTF">2023-04-27T09:18:24Z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1A90B57BF7AA4905A05247570A1E3B7C_13</vt:lpwstr>
  </property>
  <property fmtid="{D5CDD505-2E9C-101B-9397-08002B2CF9AE}" pid="4" name="KSOSaveFontToCloudKey">
    <vt:lpwstr>354036982_btnclosed</vt:lpwstr>
  </property>
</Properties>
</file>