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134"/>
        <w:gridCol w:w="2835"/>
        <w:gridCol w:w="4536"/>
        <w:gridCol w:w="141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0" w:lineRule="atLeast"/>
              <w:jc w:val="center"/>
              <w:rPr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45"/>
                <w:szCs w:val="45"/>
                <w:shd w:val="clear" w:color="auto" w:fill="FFFFFF"/>
              </w:rPr>
              <w:t>重庆市生态环境保护督察反馈交办问题整改销号公示表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985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</w:rPr>
              <w:t>整改任务概述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</w:rPr>
              <w:t>整改责任单位</w:t>
            </w:r>
          </w:p>
        </w:tc>
        <w:tc>
          <w:tcPr>
            <w:tcW w:w="2835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</w:rPr>
              <w:t>整改目标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</w:rPr>
              <w:t>整改措施及成效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</w:rPr>
              <w:t>整改时间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</w:rPr>
              <w:t>社会监督联系人及电话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  <w:jc w:val="center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部分区县生活垃圾及渗滤液处理能力不足。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江津区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提高思想认识，严肃认真对待整改问题，采用科学有效的治理办法，突出精准性，突出操作性，采取有效过渡措施处理白沙生活垃圾渗滤液；坚持长效治理，把“面上”统筹整治与“点上”专项整改相结合，坚持整治具体环境问题与解决长期发展问题相结合，积极推动白沙垃圾填埋场存量垃圾转运处置，坚决完成整改任务。同时继续加强双宝垃圾填埋场运维管理，持续做好渗滤液处置工作，目前双宝填埋场渗滤液处置能力为550吨/日，处理能力能够满足要求。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方正仿宋_GBK" w:eastAsia="方正仿宋_GBK"/>
                <w:szCs w:val="32"/>
              </w:rPr>
            </w:pPr>
            <w:r>
              <w:rPr>
                <w:rFonts w:hint="eastAsia" w:ascii="方正仿宋_GBK" w:eastAsia="方正仿宋_GBK"/>
                <w:szCs w:val="32"/>
              </w:rPr>
              <w:t>（一）加大经费投入，保障设施运行。江津区财政全额了保障渗滤液处置经费，渗滤液处理设施运行正常，确保了渗滤液全收集、全处理。</w:t>
            </w:r>
          </w:p>
          <w:p>
            <w:pPr>
              <w:spacing w:line="0" w:lineRule="atLeast"/>
              <w:rPr>
                <w:rFonts w:ascii="方正仿宋_GBK" w:eastAsia="方正仿宋_GBK"/>
                <w:szCs w:val="32"/>
              </w:rPr>
            </w:pPr>
            <w:r>
              <w:rPr>
                <w:rFonts w:hint="eastAsia" w:ascii="方正仿宋_GBK" w:eastAsia="方正仿宋_GBK"/>
                <w:szCs w:val="32"/>
              </w:rPr>
              <w:t>（二）坚持长效治理，深化整改成果。为立足长远，保持发展与环境融合统一，江津区依托重庆市第三垃圾焚烧厂实现了生活垃圾“零填埋”，渗滤液产生量逐步降低。积极推进实施白沙生活垃圾填埋场综合整治工程，由白沙工业园发展中心采取过渡措施，加快存量渗滤液处理，存量生活垃圾经分选后外运无害化处置，该工程纳入江津区水环境综合治理（一期）PPP项目，于2021年10月18日正式启动转运。</w:t>
            </w:r>
          </w:p>
          <w:p>
            <w:pPr>
              <w:spacing w:line="0" w:lineRule="atLeast"/>
              <w:rPr>
                <w:rFonts w:ascii="方正仿宋_GBK" w:eastAsia="方正仿宋_GBK"/>
                <w:szCs w:val="32"/>
              </w:rPr>
            </w:pPr>
            <w:r>
              <w:rPr>
                <w:rFonts w:hint="eastAsia" w:ascii="方正仿宋_GBK" w:eastAsia="方正仿宋_GBK"/>
                <w:szCs w:val="32"/>
              </w:rPr>
              <w:t>（三）严格检查督促，加强处置指导。江津区高度重视生活垃圾及渗滤液处理监管，督促生活垃圾及渗滤液处理设施保持稳定运行，确保处理能力不断档。</w:t>
            </w:r>
          </w:p>
          <w:p>
            <w:pPr>
              <w:spacing w:line="0" w:lineRule="atLeas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2021年12月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方正仿宋_GBK" w:eastAsia="方正仿宋_GBK"/>
                <w:szCs w:val="21"/>
              </w:rPr>
            </w:pPr>
          </w:p>
          <w:p>
            <w:pPr>
              <w:spacing w:line="0" w:lineRule="atLeast"/>
              <w:rPr>
                <w:rFonts w:ascii="方正仿宋_GBK" w:eastAsia="方正仿宋_GBK"/>
                <w:szCs w:val="21"/>
              </w:rPr>
            </w:pPr>
          </w:p>
          <w:p>
            <w:pPr>
              <w:spacing w:line="0" w:lineRule="atLeas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裴老师：47567117</w:t>
            </w:r>
          </w:p>
          <w:p>
            <w:pPr>
              <w:spacing w:line="0" w:lineRule="atLeast"/>
              <w:rPr>
                <w:rFonts w:ascii="方正仿宋_GBK" w:eastAsia="方正仿宋_GBK"/>
                <w:szCs w:val="21"/>
              </w:rPr>
            </w:pPr>
          </w:p>
          <w:p>
            <w:pPr>
              <w:spacing w:line="0" w:lineRule="atLeast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  <w:jc w:val="center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ind w:firstLine="420" w:firstLineChars="200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随着城镇化快速推进，部分地方环境基础设施“小马拉大车”现象突出。部分区县生活污水处理能力仍然不足，排水管网雨污分流不彻底，错接漏接现象普遍，以致部分污水处理厂进水浓度低、运行不稳定。部分区域污水管网缺口大、质量不过关、维护不到位，生活污水溢流问题比较普遍。部分区县污水处理厂提标改造缓慢。乡镇污水处理设施普遍老化、工艺落后、运行不稳定，超标排放问题突出。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</w:p>
          <w:p>
            <w:pPr>
              <w:spacing w:line="0" w:lineRule="atLeas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江津区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坚持解决思想认识问题与具体环境问题相结合，坚持全面推进与突出重点相结合，坚持开展集中整治与推进长效治理相结合，确保督察反馈问题得到务实有效解决。一是摸清全区污水管网情况，查漏补缺，加快完善污水管网建设和雨污分流改造。二是结合督察反馈问题，制定污水处理设施运行监督管理办法，加大污水处理设施运行管理力度，进一步提升污水治理能力，确保污水处理设施稳定运行。三是确保督察反馈问题整改到位。聚焦中央环境保护督察反馈问题指出的整改任务，明确目标、倒排进度、落实责任、限时销号，确保中央环境保护督察提出的问题全部彻底整改到位。坚持动真碰硬抓整改，做到原因不查清不放过、问题不解决不放过、责任不落实不放过、整改不彻底不放过、追责问责不到位不放过、群众不满意不放过。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（一）加快推进雨污分流管网建设。结合全区现状管网检测项目开展情况，制定</w:t>
            </w:r>
            <w:r>
              <w:rPr>
                <w:rFonts w:ascii="方正仿宋_GBK" w:eastAsia="方正仿宋_GBK"/>
                <w:szCs w:val="21"/>
              </w:rPr>
              <w:t>2020-2021年雨污分流改造计划，计划实施56公里雨污管网分流改造。截至目前，已全面完成。</w:t>
            </w:r>
          </w:p>
          <w:p>
            <w:pPr>
              <w:spacing w:line="0" w:lineRule="atLeas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（二）补短板逐步完善全区管网。结合全区现状管网检测项目开展情况，查漏补缺，制定</w:t>
            </w:r>
            <w:r>
              <w:rPr>
                <w:rFonts w:ascii="方正仿宋_GBK" w:eastAsia="方正仿宋_GBK"/>
                <w:szCs w:val="21"/>
              </w:rPr>
              <w:t>2020-2021年污水管网建设计划，计划实施52公里污水管网建设。截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至</w:t>
            </w:r>
            <w:bookmarkStart w:id="0" w:name="_GoBack"/>
            <w:bookmarkEnd w:id="0"/>
            <w:r>
              <w:rPr>
                <w:rFonts w:ascii="方正仿宋_GBK" w:eastAsia="方正仿宋_GBK"/>
                <w:szCs w:val="21"/>
              </w:rPr>
              <w:t>目前，已全部完成。</w:t>
            </w:r>
          </w:p>
          <w:p>
            <w:pPr>
              <w:spacing w:line="0" w:lineRule="atLeas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三）规范全区污水处理设施运行管理。根据全区污水处理设施现状，拟定《江津区污水处理设施运行监督管理办法》和《江津区城镇污水处理水量水质核定实施细则》，建立健全全区污水处理设施运维长效机制，加强管网巡查维护、严格执行排水许可制度。根据区政府</w:t>
            </w:r>
            <w:r>
              <w:rPr>
                <w:rFonts w:ascii="方正仿宋_GBK" w:eastAsia="方正仿宋_GBK"/>
                <w:szCs w:val="21"/>
              </w:rPr>
              <w:t>114次常委会精神，区住房城乡建委同区生态环境局、区财政局召开专题会议，共同发文《关于进一步加强全区生活污水处理设施运行管理相关事宜的通知》（津住建委发〔2021〕8号），并于2021年4月7日组织区生态环境局、区财政局、各镇街召开进一步压实全区生活污水处理设施监督管理的会</w:t>
            </w:r>
            <w:r>
              <w:rPr>
                <w:rFonts w:hint="eastAsia" w:ascii="方正仿宋_GBK" w:eastAsia="方正仿宋_GBK"/>
                <w:szCs w:val="21"/>
              </w:rPr>
              <w:t>议，压实属地责任，规范污水处理设施运行、监督、管理工作；《江津区城镇污水处理水量水质核定实施方案》已完成初稿，待上级规范性文件实施后，将进一步完善并严格执行。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2021年1</w:t>
            </w:r>
            <w:r>
              <w:rPr>
                <w:rFonts w:ascii="方正仿宋_GBK" w:eastAsia="方正仿宋_GBK"/>
                <w:szCs w:val="21"/>
              </w:rPr>
              <w:t>2</w:t>
            </w:r>
            <w:r>
              <w:rPr>
                <w:rFonts w:hint="eastAsia" w:ascii="方正仿宋_GBK" w:eastAsia="方正仿宋_GBK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方正仿宋_GBK" w:eastAsia="方正仿宋_GBK"/>
                <w:szCs w:val="21"/>
              </w:rPr>
            </w:pPr>
          </w:p>
          <w:p>
            <w:pPr>
              <w:spacing w:line="0" w:lineRule="atLeast"/>
              <w:rPr>
                <w:rFonts w:ascii="方正仿宋_GBK" w:eastAsia="方正仿宋_GBK"/>
                <w:szCs w:val="21"/>
              </w:rPr>
            </w:pPr>
          </w:p>
          <w:p>
            <w:pPr>
              <w:spacing w:line="0" w:lineRule="atLeas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裴老师：</w:t>
            </w:r>
            <w:r>
              <w:rPr>
                <w:rFonts w:ascii="方正仿宋_GBK" w:eastAsia="方正仿宋_GBK"/>
                <w:szCs w:val="21"/>
              </w:rPr>
              <w:t>47567117</w:t>
            </w:r>
          </w:p>
          <w:p>
            <w:pPr>
              <w:spacing w:line="0" w:lineRule="atLeast"/>
              <w:rPr>
                <w:rFonts w:ascii="方正仿宋_GBK" w:eastAsia="方正仿宋_GBK"/>
                <w:szCs w:val="21"/>
              </w:rPr>
            </w:pPr>
          </w:p>
          <w:p>
            <w:pPr>
              <w:spacing w:line="0" w:lineRule="atLeast"/>
              <w:rPr>
                <w:rFonts w:ascii="方正仿宋_GBK" w:eastAsia="方正仿宋_GBK"/>
                <w:szCs w:val="21"/>
              </w:rPr>
            </w:pPr>
          </w:p>
        </w:tc>
      </w:tr>
    </w:tbl>
    <w:p>
      <w:pPr>
        <w:spacing w:line="0" w:lineRule="atLeast"/>
        <w:rPr>
          <w:rFonts w:hint="eastAsia" w:ascii="方正仿宋_GBK" w:eastAsia="方正仿宋_GBK"/>
          <w:szCs w:val="21"/>
        </w:rPr>
      </w:pPr>
    </w:p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B7"/>
    <w:rsid w:val="00021941"/>
    <w:rsid w:val="00087648"/>
    <w:rsid w:val="000A5EC0"/>
    <w:rsid w:val="000D6A7F"/>
    <w:rsid w:val="002B1D29"/>
    <w:rsid w:val="00366A90"/>
    <w:rsid w:val="004A7C5F"/>
    <w:rsid w:val="004D54A9"/>
    <w:rsid w:val="004F10C1"/>
    <w:rsid w:val="006E0D26"/>
    <w:rsid w:val="00744B06"/>
    <w:rsid w:val="00787C4E"/>
    <w:rsid w:val="0085471E"/>
    <w:rsid w:val="008E0D6A"/>
    <w:rsid w:val="00912C9C"/>
    <w:rsid w:val="00955981"/>
    <w:rsid w:val="009738A3"/>
    <w:rsid w:val="00A14F99"/>
    <w:rsid w:val="00A20953"/>
    <w:rsid w:val="00A5017B"/>
    <w:rsid w:val="00AB45A6"/>
    <w:rsid w:val="00C162C6"/>
    <w:rsid w:val="00C20CB8"/>
    <w:rsid w:val="00C307B7"/>
    <w:rsid w:val="00C367F4"/>
    <w:rsid w:val="00C54530"/>
    <w:rsid w:val="00CE2B05"/>
    <w:rsid w:val="00D67DB9"/>
    <w:rsid w:val="00DC5357"/>
    <w:rsid w:val="00DF7CBA"/>
    <w:rsid w:val="00EB34F8"/>
    <w:rsid w:val="00EC78DC"/>
    <w:rsid w:val="00F572B3"/>
    <w:rsid w:val="00F960AB"/>
    <w:rsid w:val="00FE0BA5"/>
    <w:rsid w:val="00FE430D"/>
    <w:rsid w:val="03C746BD"/>
    <w:rsid w:val="05426E11"/>
    <w:rsid w:val="075D75D4"/>
    <w:rsid w:val="07F505AF"/>
    <w:rsid w:val="0B9C1B1C"/>
    <w:rsid w:val="0DF41B3D"/>
    <w:rsid w:val="106E20AE"/>
    <w:rsid w:val="108B30D9"/>
    <w:rsid w:val="115442A5"/>
    <w:rsid w:val="11B83555"/>
    <w:rsid w:val="127114AA"/>
    <w:rsid w:val="12F2525F"/>
    <w:rsid w:val="12F9761D"/>
    <w:rsid w:val="1D9E30AD"/>
    <w:rsid w:val="1F012A1B"/>
    <w:rsid w:val="1F274744"/>
    <w:rsid w:val="205B4650"/>
    <w:rsid w:val="287779A8"/>
    <w:rsid w:val="2C497996"/>
    <w:rsid w:val="2FDB2BDC"/>
    <w:rsid w:val="30116F04"/>
    <w:rsid w:val="32A42B27"/>
    <w:rsid w:val="360D1444"/>
    <w:rsid w:val="36CE1D17"/>
    <w:rsid w:val="37CF6BB1"/>
    <w:rsid w:val="37D8173F"/>
    <w:rsid w:val="37DA28A2"/>
    <w:rsid w:val="38811CDC"/>
    <w:rsid w:val="398F3DE0"/>
    <w:rsid w:val="3B1A6727"/>
    <w:rsid w:val="3B3A0A8F"/>
    <w:rsid w:val="3CDF4288"/>
    <w:rsid w:val="3E143D8E"/>
    <w:rsid w:val="3E824185"/>
    <w:rsid w:val="406A2879"/>
    <w:rsid w:val="40913A70"/>
    <w:rsid w:val="419975FF"/>
    <w:rsid w:val="42070CE0"/>
    <w:rsid w:val="421849F4"/>
    <w:rsid w:val="423C4E10"/>
    <w:rsid w:val="424E0AB1"/>
    <w:rsid w:val="426A7ECF"/>
    <w:rsid w:val="43D23CD5"/>
    <w:rsid w:val="44DA7785"/>
    <w:rsid w:val="4EBE57D5"/>
    <w:rsid w:val="4F3A71ED"/>
    <w:rsid w:val="4F7A4ACB"/>
    <w:rsid w:val="509F2976"/>
    <w:rsid w:val="513879B0"/>
    <w:rsid w:val="51400EB0"/>
    <w:rsid w:val="517A13F8"/>
    <w:rsid w:val="53F03100"/>
    <w:rsid w:val="54BA4EB9"/>
    <w:rsid w:val="5863652D"/>
    <w:rsid w:val="59316758"/>
    <w:rsid w:val="59CE73BF"/>
    <w:rsid w:val="59E512B3"/>
    <w:rsid w:val="5A37413F"/>
    <w:rsid w:val="5B135956"/>
    <w:rsid w:val="5D7B6E7E"/>
    <w:rsid w:val="5F794089"/>
    <w:rsid w:val="5F903698"/>
    <w:rsid w:val="62384BCD"/>
    <w:rsid w:val="63343D4C"/>
    <w:rsid w:val="633727E9"/>
    <w:rsid w:val="641934A5"/>
    <w:rsid w:val="6447674E"/>
    <w:rsid w:val="64D97249"/>
    <w:rsid w:val="66A2022C"/>
    <w:rsid w:val="68642B4C"/>
    <w:rsid w:val="6914445A"/>
    <w:rsid w:val="6C7E63DA"/>
    <w:rsid w:val="6DE939E0"/>
    <w:rsid w:val="6FBE4376"/>
    <w:rsid w:val="703E4061"/>
    <w:rsid w:val="72031129"/>
    <w:rsid w:val="73CD3059"/>
    <w:rsid w:val="73EE420B"/>
    <w:rsid w:val="7407698E"/>
    <w:rsid w:val="7481457C"/>
    <w:rsid w:val="75B17BE7"/>
    <w:rsid w:val="765B3875"/>
    <w:rsid w:val="77213157"/>
    <w:rsid w:val="78613437"/>
    <w:rsid w:val="790778AE"/>
    <w:rsid w:val="7A285100"/>
    <w:rsid w:val="7C8F0071"/>
    <w:rsid w:val="7C9C6F9D"/>
    <w:rsid w:val="7DC01B37"/>
    <w:rsid w:val="7E5FFA5C"/>
    <w:rsid w:val="7E660377"/>
    <w:rsid w:val="7EA139E2"/>
    <w:rsid w:val="7EAC6950"/>
    <w:rsid w:val="7F46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11p1"/>
    <w:qFormat/>
    <w:uiPriority w:val="0"/>
    <w:rPr>
      <w:sz w:val="23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251</Words>
  <Characters>1437</Characters>
  <Lines>11</Lines>
  <Paragraphs>3</Paragraphs>
  <TotalTime>59</TotalTime>
  <ScaleCrop>false</ScaleCrop>
  <LinksUpToDate>false</LinksUpToDate>
  <CharactersWithSpaces>1685</CharactersWithSpaces>
  <Application>WPS Office_11.8.2.1112_F1E327BC-269C-435d-A152-05C5408002CA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2021-02-05T10:40:00Z</dcterms:created>
  <dc:creator>Administrator</dc:creator>
  <cp:lastModifiedBy>hb102-1</cp:lastModifiedBy>
  <cp:lastPrinted>2021-12-02T15:39:00Z</cp:lastPrinted>
  <dcterms:modified xsi:type="dcterms:W3CDTF">2022-08-22T16:50:37Z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2052-11.8.2.1112</vt:lpwstr>
  </property>
  <property fmtid="{D5CDD505-2E9C-101B-9397-08002B2CF9AE}" pid="3" name="KSOSaveFontToCloudKey">
    <vt:lpwstr>0_btnclosed</vt:lpwstr>
  </property>
  <property fmtid="{D5CDD505-2E9C-101B-9397-08002B2CF9AE}" pid="4" name="ICV">
    <vt:lpwstr>02D11DE209044512A73ECEB58E416ADB</vt:lpwstr>
  </property>
</Properties>
</file>