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94"/>
        <w:gridCol w:w="1112"/>
        <w:gridCol w:w="2300"/>
        <w:gridCol w:w="4038"/>
        <w:gridCol w:w="1537"/>
        <w:gridCol w:w="1155"/>
      </w:tblGrid>
      <w:tr>
        <w:tc>
          <w:tcPr>
            <w:tcW w:w="12936" w:type="dxa"/>
            <w:gridSpan w:val="6"/>
            <w:tcBorders>
              <w:top w:val="nil"/>
              <w:left w:val="nil"/>
              <w:bottom w:val="nil"/>
              <w:right w:val="nil"/>
            </w:tcBorders>
          </w:tcPr>
          <w:p>
            <w:pPr>
              <w:spacing w:line="0" w:lineRule="atLeast"/>
              <w:jc w:val="center"/>
              <w:rPr>
                <w:color w:val="333333"/>
                <w:shd w:val="clear" w:color="auto" w:fill="FFFFFF"/>
              </w:rPr>
            </w:pPr>
            <w:r>
              <w:rPr>
                <w:rFonts w:ascii="微软雅黑" w:eastAsia="微软雅黑" w:hint="eastAsia"/>
                <w:color w:val="333333"/>
                <w:sz w:val="45"/>
                <w:szCs w:val="45"/>
                <w:shd w:val="clear" w:color="auto" w:fill="FFFFFF"/>
              </w:rPr>
              <w:t>重庆市生态环境保护督察</w:t>
            </w:r>
            <w:r>
              <w:rPr>
                <w:rFonts w:ascii="微软雅黑" w:eastAsia="微软雅黑" w:hint="eastAsia"/>
                <w:color w:val="333333"/>
                <w:sz w:val="45"/>
                <w:szCs w:val="45"/>
                <w:shd w:val="clear" w:color="auto" w:fill="FFFFFF"/>
                <w:lang w:eastAsia="zh-CN"/>
              </w:rPr>
              <w:t>反馈交办问题</w:t>
            </w:r>
            <w:r>
              <w:rPr>
                <w:rFonts w:ascii="微软雅黑" w:eastAsia="微软雅黑" w:hint="eastAsia"/>
                <w:color w:val="333333"/>
                <w:sz w:val="45"/>
                <w:szCs w:val="45"/>
                <w:shd w:val="clear" w:color="auto" w:fill="FFFFFF"/>
              </w:rPr>
              <w:t>整改销号公示表</w:t>
            </w:r>
          </w:p>
        </w:tc>
      </w:tr>
      <w:tr>
        <w:trPr>
          <w:trHeight w:val="1138"/>
        </w:trPr>
        <w:tc>
          <w:tcPr>
            <w:tcW w:w="2794"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整改任务概述</w:t>
            </w:r>
          </w:p>
        </w:tc>
        <w:tc>
          <w:tcPr>
            <w:tcW w:w="1112"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整改责任单位</w:t>
            </w:r>
          </w:p>
        </w:tc>
        <w:tc>
          <w:tcPr>
            <w:tcW w:w="2300"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整改目标</w:t>
            </w:r>
          </w:p>
        </w:tc>
        <w:tc>
          <w:tcPr>
            <w:tcW w:w="4038" w:type="dxa"/>
            <w:tcBorders>
              <w:top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sz w:val="24"/>
                <w:szCs w:val="24"/>
              </w:rPr>
            </w:pPr>
            <w:r>
              <w:rPr>
                <w:rFonts w:ascii="方正仿宋_GBK" w:eastAsia="方正仿宋_GBK" w:hint="eastAsia"/>
                <w:b/>
                <w:bCs/>
                <w:color w:val="333333"/>
                <w:sz w:val="24"/>
                <w:szCs w:val="24"/>
                <w:shd w:val="clear" w:color="auto" w:fill="FFFFFF"/>
              </w:rPr>
              <w:t>整改</w:t>
            </w:r>
            <w:bookmarkStart w:id="0" w:name="_GoBack"/>
            <w:bookmarkEnd w:id="0"/>
            <w:r>
              <w:rPr>
                <w:rFonts w:ascii="方正仿宋_GBK" w:eastAsia="方正仿宋_GBK" w:hint="eastAsia"/>
                <w:b/>
                <w:bCs/>
                <w:color w:val="333333"/>
                <w:sz w:val="24"/>
                <w:szCs w:val="24"/>
                <w:shd w:val="clear" w:color="auto" w:fill="FFFFFF"/>
              </w:rPr>
              <w:t>措施及成效</w:t>
            </w:r>
          </w:p>
        </w:tc>
        <w:tc>
          <w:tcPr>
            <w:tcW w:w="1537" w:type="dxa"/>
            <w:tcBorders>
              <w:top w:val="single" w:sz="4" w:space="0" w:color="auto"/>
              <w:left w:val="single" w:sz="4" w:space="0" w:color="auto"/>
              <w:bottom w:val="single" w:sz="4" w:space="0" w:color="auto"/>
              <w:right w:val="single" w:sz="4" w:space="0" w:color="auto"/>
            </w:tcBorders>
            <w:vAlign w:val="center"/>
          </w:tcPr>
          <w:p>
            <w:pPr>
              <w:spacing w:line="0" w:lineRule="atLeast"/>
              <w:jc w:val="center"/>
              <w:rPr>
                <w:rFonts w:ascii="方正仿宋_GBK" w:eastAsia="方正仿宋_GBK" w:hint="eastAsia"/>
                <w:b/>
                <w:bCs/>
                <w:color w:val="333333"/>
                <w:sz w:val="24"/>
                <w:szCs w:val="24"/>
                <w:shd w:val="clear" w:color="auto" w:fill="FFFFFF"/>
              </w:rPr>
            </w:pPr>
            <w:r>
              <w:rPr>
                <w:rFonts w:ascii="方正仿宋_GBK" w:eastAsia="方正仿宋_GBK" w:hint="eastAsia"/>
                <w:b/>
                <w:bCs/>
                <w:color w:val="333333"/>
                <w:sz w:val="24"/>
                <w:szCs w:val="24"/>
                <w:shd w:val="clear" w:color="auto" w:fill="FFFFFF"/>
              </w:rPr>
              <w:t>整改时间</w:t>
            </w:r>
          </w:p>
        </w:tc>
        <w:tc>
          <w:tcPr>
            <w:tcW w:w="1155" w:type="dxa"/>
            <w:tcBorders>
              <w:top w:val="single" w:sz="4" w:space="0" w:color="auto"/>
              <w:left w:val="single" w:sz="4" w:space="0" w:color="auto"/>
              <w:bottom w:val="single" w:sz="4" w:space="0" w:color="auto"/>
            </w:tcBorders>
            <w:vAlign w:val="center"/>
          </w:tcPr>
          <w:p>
            <w:pPr>
              <w:spacing w:line="0" w:lineRule="atLeast"/>
              <w:jc w:val="center"/>
              <w:rPr>
                <w:rFonts w:ascii="方正仿宋_GBK" w:eastAsia="方正仿宋_GBK" w:hint="eastAsia"/>
                <w:b/>
                <w:bCs/>
                <w:color w:val="333333"/>
                <w:sz w:val="24"/>
                <w:szCs w:val="24"/>
                <w:shd w:val="clear" w:color="auto" w:fill="FFFFFF"/>
              </w:rPr>
            </w:pPr>
            <w:r>
              <w:rPr>
                <w:rFonts w:ascii="方正仿宋_GBK" w:eastAsia="方正仿宋_GBK" w:hint="eastAsia"/>
                <w:b/>
                <w:bCs/>
                <w:color w:val="333333"/>
                <w:sz w:val="24"/>
                <w:szCs w:val="24"/>
                <w:shd w:val="clear" w:color="auto" w:fill="FFFFFF"/>
              </w:rPr>
              <w:t>社会监督联系人及电话</w:t>
            </w:r>
          </w:p>
        </w:tc>
      </w:tr>
      <w:tr>
        <w:trPr>
          <w:trHeight w:val="2999"/>
        </w:trPr>
        <w:tc>
          <w:tcPr>
            <w:tcW w:w="2794" w:type="dxa"/>
            <w:tcBorders>
              <w:top w:val="single" w:sz="4" w:space="0" w:color="auto"/>
              <w:bottom w:val="single" w:sz="4" w:space="0" w:color="auto"/>
            </w:tcBorders>
            <w:vAlign w:val="center"/>
          </w:tcPr>
          <w:p>
            <w:pPr>
              <w:spacing w:line="320" w:lineRule="exact"/>
              <w:ind w:firstLineChars="200" w:firstLine="420"/>
              <w:jc w:val="left"/>
              <w:rPr>
                <w:rFonts w:ascii="Times New Roman" w:eastAsia="方正仿宋_GBK" w:hAnsi="Times New Roman" w:hint="eastAsia"/>
                <w:szCs w:val="21"/>
              </w:rPr>
            </w:pPr>
            <w:r>
              <w:rPr>
                <w:rFonts w:ascii="Times New Roman" w:eastAsia="方正仿宋_GBK" w:hAnsi="Times New Roman" w:hint="eastAsia"/>
                <w:szCs w:val="21"/>
              </w:rPr>
              <w:t>区县仍然存在“水土保持仅是水利部门一家的事“的旧观念，工作主动性不强。</w:t>
            </w:r>
          </w:p>
        </w:tc>
        <w:tc>
          <w:tcPr>
            <w:tcW w:w="1112"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r>
              <w:rPr>
                <w:rFonts w:ascii="Times New Roman" w:eastAsia="方正仿宋_GBK" w:hAnsi="Times New Roman" w:hint="eastAsia"/>
                <w:szCs w:val="21"/>
              </w:rPr>
              <w:t>江津区</w:t>
            </w:r>
          </w:p>
        </w:tc>
        <w:tc>
          <w:tcPr>
            <w:tcW w:w="2300"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p>
          <w:p>
            <w:pPr>
              <w:spacing w:line="240" w:lineRule="auto"/>
              <w:ind w:firstLineChars="200" w:firstLine="420"/>
              <w:rPr>
                <w:rFonts w:ascii="Times New Roman" w:eastAsia="方正仿宋_GBK" w:cs="方正仿宋_GBK" w:hAnsi="Times New Roman" w:hint="eastAsia"/>
                <w:szCs w:val="32"/>
              </w:rPr>
            </w:pPr>
            <w:r>
              <w:rPr>
                <w:rFonts w:ascii="Times New Roman" w:eastAsia="方正仿宋_GBK" w:hAnsi="Times New Roman" w:hint="eastAsia"/>
                <w:szCs w:val="21"/>
              </w:rPr>
              <w:t>江津区水土保持成员单位，按照属地负责制，明确各部门职责，层层落实工作责任</w:t>
            </w:r>
            <w:r>
              <w:rPr>
                <w:rFonts w:ascii="Times New Roman" w:eastAsia="方正仿宋_GBK" w:hAnsi="Times New Roman"/>
                <w:szCs w:val="21"/>
              </w:rPr>
              <w:t>。</w:t>
            </w:r>
          </w:p>
          <w:p>
            <w:pPr>
              <w:spacing w:line="0" w:lineRule="atLeast"/>
              <w:jc w:val="both"/>
              <w:rPr>
                <w:rFonts w:ascii="Times New Roman" w:eastAsia="方正仿宋_GBK" w:hAnsi="Times New Roman" w:hint="eastAsia"/>
                <w:szCs w:val="21"/>
              </w:rPr>
            </w:pPr>
          </w:p>
        </w:tc>
        <w:tc>
          <w:tcPr>
            <w:tcW w:w="4038" w:type="dxa"/>
            <w:tcBorders>
              <w:top w:val="single" w:sz="4" w:space="0" w:color="auto"/>
              <w:left w:val="single" w:sz="4" w:space="0" w:color="auto"/>
              <w:bottom w:val="single" w:sz="4" w:space="0" w:color="auto"/>
            </w:tcBorders>
            <w:vAlign w:val="center"/>
          </w:tcPr>
          <w:p>
            <w:pPr>
              <w:spacing w:line="0" w:lineRule="atLeast"/>
              <w:ind w:firstLineChars="200" w:firstLine="420"/>
              <w:jc w:val="both"/>
              <w:rPr>
                <w:rFonts w:ascii="Times New Roman" w:eastAsia="方正仿宋_GBK" w:hAnsi="Times New Roman" w:hint="eastAsia"/>
                <w:szCs w:val="21"/>
              </w:rPr>
            </w:pPr>
            <w:r>
              <w:rPr>
                <w:rFonts w:ascii="Times New Roman" w:eastAsia="方正仿宋_GBK" w:hAnsi="Times New Roman" w:hint="eastAsia"/>
                <w:szCs w:val="21"/>
              </w:rPr>
              <w:t>区政府将水土保持工作纳入镇街经济实绩考核内容，按照属地负责制，明确各部门职责，层层落实工作责任。2021年6月，区水利局会同区发展和改革委员会、江津区规划和自然资源局、区农业农村委等部门联合下达我区水土保持综合治理任务，联合印发了《关于下达2021年水土保持生态建设任务指导性指标的通知》（津水利发〔2021〕107号），分解下达我区2021年防治水土流失治理面积任务7平方公里（其中退耕还林、森林抚育以及低效林改造1平方公里，高标准农田建设5平方公里，矿山修复与土地整治1平方公里）。行业主管部门齐抓共管共治水土流失格局基本形成。</w:t>
            </w:r>
          </w:p>
        </w:tc>
        <w:tc>
          <w:tcPr>
            <w:tcW w:w="1537"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r>
              <w:rPr>
                <w:rFonts w:ascii="Times New Roman" w:eastAsia="方正仿宋_GBK" w:hAnsi="Times New Roman" w:hint="eastAsia"/>
                <w:szCs w:val="21"/>
                <w:lang w:val="en-US" w:eastAsia="zh-CN"/>
              </w:rPr>
              <w:t>2022</w:t>
            </w:r>
            <w:r>
              <w:rPr>
                <w:rFonts w:ascii="Times New Roman" w:eastAsia="方正仿宋_GBK" w:hAnsi="Times New Roman" w:hint="eastAsia"/>
                <w:szCs w:val="21"/>
              </w:rPr>
              <w:t>年4月</w:t>
            </w:r>
          </w:p>
        </w:tc>
        <w:tc>
          <w:tcPr>
            <w:tcW w:w="1155" w:type="dxa"/>
            <w:tcBorders>
              <w:top w:val="single" w:sz="4" w:space="0" w:color="auto"/>
              <w:left w:val="single" w:sz="4" w:space="0" w:color="auto"/>
              <w:bottom w:val="single" w:sz="4" w:space="0" w:color="auto"/>
            </w:tcBorders>
            <w:vAlign w:val="center"/>
          </w:tcPr>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lang w:val="en-US" w:eastAsia="zh-CN"/>
              </w:rPr>
            </w:pPr>
            <w:r>
              <w:rPr>
                <w:rFonts w:ascii="Times New Roman" w:eastAsia="方正仿宋_GBK" w:hAnsi="Times New Roman" w:hint="eastAsia"/>
                <w:szCs w:val="21"/>
              </w:rPr>
              <w:t>胡老师：</w:t>
            </w:r>
            <w:r>
              <w:rPr>
                <w:rFonts w:ascii="Times New Roman" w:eastAsia="方正仿宋_GBK" w:hAnsi="Times New Roman" w:hint="eastAsia"/>
                <w:szCs w:val="21"/>
                <w:lang w:val="en-US" w:eastAsia="zh-CN"/>
              </w:rPr>
              <w:t>47567503</w:t>
            </w:r>
          </w:p>
          <w:p>
            <w:pPr>
              <w:spacing w:line="0" w:lineRule="atLeast"/>
              <w:jc w:val="both"/>
              <w:rPr>
                <w:rFonts w:ascii="Times New Roman" w:eastAsia="方正仿宋_GBK" w:hAnsi="Times New Roman" w:hint="eastAsia"/>
                <w:szCs w:val="21"/>
              </w:rPr>
            </w:pPr>
          </w:p>
          <w:p>
            <w:pPr>
              <w:spacing w:line="0" w:lineRule="atLeast"/>
              <w:jc w:val="both"/>
              <w:rPr>
                <w:rFonts w:ascii="Times New Roman" w:eastAsia="方正仿宋_GBK" w:hAnsi="Times New Roman" w:hint="eastAsia"/>
                <w:szCs w:val="21"/>
              </w:rPr>
            </w:pPr>
          </w:p>
        </w:tc>
      </w:tr>
      <w:tr>
        <w:trPr>
          <w:trHeight w:val="2999"/>
        </w:trPr>
        <w:tc>
          <w:tcPr>
            <w:tcW w:w="2794" w:type="dxa"/>
            <w:tcBorders>
              <w:top w:val="single" w:sz="4" w:space="0" w:color="auto"/>
              <w:bottom w:val="single" w:sz="4" w:space="0" w:color="auto"/>
            </w:tcBorders>
            <w:vAlign w:val="center"/>
          </w:tcPr>
          <w:p>
            <w:pPr>
              <w:spacing w:line="320" w:lineRule="exact"/>
              <w:ind w:firstLineChars="200" w:firstLine="420"/>
              <w:jc w:val="left"/>
              <w:rPr>
                <w:rFonts w:ascii="Times New Roman" w:eastAsia="方正仿宋_GBK" w:hAnsi="Times New Roman" w:hint="eastAsia"/>
                <w:szCs w:val="21"/>
              </w:rPr>
            </w:pPr>
            <w:r>
              <w:rPr>
                <w:rFonts w:ascii="Times New Roman" w:eastAsia="方正仿宋_GBK" w:hAnsi="Times New Roman" w:hint="eastAsia"/>
                <w:szCs w:val="21"/>
              </w:rPr>
              <w:t>区县基本处于刚成立或刚恢复水土保持委员会阶段，尚未全面发挥组织和协调本行政区域内水土保持工作的作用。</w:t>
            </w:r>
          </w:p>
        </w:tc>
        <w:tc>
          <w:tcPr>
            <w:tcW w:w="1112" w:type="dxa"/>
            <w:tcBorders>
              <w:top w:val="single" w:sz="4" w:space="0" w:color="auto"/>
              <w:left w:val="single" w:sz="4" w:space="0" w:color="auto"/>
              <w:bottom w:val="single" w:sz="4" w:space="0" w:color="auto"/>
            </w:tcBorders>
            <w:vAlign w:val="center"/>
          </w:tcPr>
          <w:p>
            <w:pPr>
              <w:spacing w:line="0" w:lineRule="atLeast"/>
              <w:ind w:left="0"/>
              <w:rPr>
                <w:rFonts w:ascii="Times New Roman" w:eastAsia="方正仿宋_GBK" w:hAnsi="Times New Roman" w:hint="eastAsia"/>
                <w:szCs w:val="21"/>
              </w:rPr>
            </w:pPr>
            <w:r>
              <w:rPr>
                <w:rFonts w:ascii="Times New Roman" w:eastAsia="方正仿宋_GBK" w:hAnsi="Times New Roman" w:hint="eastAsia"/>
                <w:szCs w:val="21"/>
              </w:rPr>
              <w:t>江津区</w:t>
            </w:r>
          </w:p>
        </w:tc>
        <w:tc>
          <w:tcPr>
            <w:tcW w:w="2300" w:type="dxa"/>
            <w:tcBorders>
              <w:top w:val="single" w:sz="4" w:space="0" w:color="auto"/>
              <w:left w:val="single" w:sz="4" w:space="0" w:color="auto"/>
              <w:bottom w:val="single" w:sz="4" w:space="0" w:color="auto"/>
            </w:tcBorders>
            <w:vAlign w:val="center"/>
          </w:tcPr>
          <w:p>
            <w:pPr>
              <w:spacing w:line="0" w:lineRule="atLeast"/>
              <w:ind w:firstLineChars="200" w:firstLine="420"/>
              <w:rPr>
                <w:rFonts w:ascii="Times New Roman" w:eastAsia="方正仿宋_GBK" w:hAnsi="Times New Roman" w:hint="eastAsia"/>
                <w:szCs w:val="21"/>
              </w:rPr>
            </w:pPr>
            <w:r>
              <w:rPr>
                <w:rFonts w:ascii="Times New Roman" w:eastAsia="方正仿宋_GBK" w:hAnsi="Times New Roman" w:hint="eastAsia"/>
                <w:szCs w:val="21"/>
              </w:rPr>
              <w:t>发挥水土保持委员会，组织和协调本行政区域内水土保持工作的作用</w:t>
            </w:r>
            <w:r>
              <w:rPr>
                <w:rFonts w:ascii="Times New Roman" w:eastAsia="方正仿宋_GBK" w:hAnsi="Times New Roman"/>
                <w:szCs w:val="21"/>
              </w:rPr>
              <w:t>。</w:t>
            </w:r>
          </w:p>
        </w:tc>
        <w:tc>
          <w:tcPr>
            <w:tcW w:w="4038" w:type="dxa"/>
            <w:tcBorders>
              <w:top w:val="single" w:sz="4" w:space="0" w:color="auto"/>
              <w:left w:val="single" w:sz="4" w:space="0" w:color="auto"/>
              <w:bottom w:val="single" w:sz="4" w:space="0" w:color="auto"/>
            </w:tcBorders>
            <w:vAlign w:val="center"/>
          </w:tcPr>
          <w:p>
            <w:pPr>
              <w:spacing w:line="0" w:lineRule="atLeast"/>
              <w:ind w:firstLineChars="200" w:firstLine="420"/>
              <w:rPr>
                <w:rFonts w:ascii="Times New Roman" w:eastAsia="方正仿宋_GBK" w:hAnsi="Times New Roman" w:hint="eastAsia"/>
                <w:szCs w:val="21"/>
              </w:rPr>
            </w:pPr>
            <w:r>
              <w:rPr>
                <w:rFonts w:ascii="Times New Roman" w:eastAsia="方正仿宋_GBK" w:hAnsi="Times New Roman" w:hint="eastAsia"/>
                <w:szCs w:val="21"/>
              </w:rPr>
              <w:t>为全面推进江津区水土保持工作，成立了江津区水土保持委员会。为进一步发挥我区水土保持委员会作用，印发了《重庆市江津区水土保持委员会关于印发重庆市江津区水土保持委员会职责和工作制度的通知》（津水保委〔2021〕2号），文件明确了区水保委和区水土保持各成员单位的职责和工作制度。委员会主任定期听取全区水土保持工作汇报，专题研究组织协调推进全区水土保持工作。每年年底将委员会工作开展情况和各成员单位履职情况总结报告委员会领导成员。委员会成员根据人事变动及时进行调整，能够全面发挥组织和协调本行政区域内水土保持工作。</w:t>
            </w:r>
          </w:p>
        </w:tc>
        <w:tc>
          <w:tcPr>
            <w:tcW w:w="1537" w:type="dxa"/>
            <w:tcBorders>
              <w:top w:val="single" w:sz="4" w:space="0" w:color="auto"/>
              <w:left w:val="single" w:sz="4" w:space="0" w:color="auto"/>
              <w:bottom w:val="single" w:sz="4" w:space="0" w:color="auto"/>
            </w:tcBorders>
            <w:vAlign w:val="center"/>
          </w:tcPr>
          <w:p>
            <w:pPr>
              <w:spacing w:line="0" w:lineRule="atLeast"/>
              <w:ind w:left="0"/>
              <w:jc w:val="both"/>
              <w:rPr>
                <w:rFonts w:ascii="Times New Roman" w:eastAsia="方正仿宋_GBK" w:hAnsi="Times New Roman" w:hint="eastAsia"/>
                <w:szCs w:val="21"/>
              </w:rPr>
            </w:pPr>
            <w:r>
              <w:rPr>
                <w:rFonts w:ascii="Times New Roman" w:eastAsia="方正仿宋_GBK" w:hAnsi="Times New Roman" w:hint="eastAsia"/>
                <w:szCs w:val="21"/>
                <w:lang w:val="en-US" w:eastAsia="zh-CN"/>
              </w:rPr>
              <w:t>2022</w:t>
            </w:r>
            <w:r>
              <w:rPr>
                <w:rFonts w:ascii="Times New Roman" w:eastAsia="方正仿宋_GBK" w:hAnsi="Times New Roman" w:hint="eastAsia"/>
                <w:szCs w:val="21"/>
              </w:rPr>
              <w:t>年4月</w:t>
            </w:r>
          </w:p>
        </w:tc>
        <w:tc>
          <w:tcPr>
            <w:tcW w:w="1155" w:type="dxa"/>
            <w:tcBorders>
              <w:top w:val="single" w:sz="4" w:space="0" w:color="auto"/>
              <w:left w:val="single" w:sz="4" w:space="0" w:color="auto"/>
              <w:bottom w:val="single" w:sz="4" w:space="0" w:color="auto"/>
            </w:tcBorders>
            <w:vAlign w:val="center"/>
          </w:tcPr>
          <w:p>
            <w:pPr>
              <w:spacing w:line="0" w:lineRule="atLeast"/>
              <w:ind w:firstLineChars="200" w:firstLine="420"/>
              <w:jc w:val="both"/>
              <w:rPr>
                <w:rFonts w:ascii="Times New Roman" w:eastAsia="方正仿宋_GBK" w:hAnsi="Times New Roman" w:hint="eastAsia"/>
                <w:szCs w:val="21"/>
              </w:rPr>
            </w:pPr>
          </w:p>
          <w:p>
            <w:pPr>
              <w:spacing w:line="0" w:lineRule="atLeast"/>
              <w:ind w:firstLineChars="200" w:firstLine="420"/>
              <w:jc w:val="both"/>
              <w:rPr>
                <w:rFonts w:ascii="Times New Roman" w:eastAsia="方正仿宋_GBK" w:hAnsi="Times New Roman" w:hint="eastAsia"/>
                <w:szCs w:val="21"/>
              </w:rPr>
            </w:pPr>
          </w:p>
          <w:p>
            <w:pPr>
              <w:spacing w:line="0" w:lineRule="atLeast"/>
              <w:ind w:left="0"/>
              <w:jc w:val="both"/>
              <w:rPr>
                <w:rFonts w:ascii="Times New Roman" w:eastAsia="方正仿宋_GBK" w:hAnsi="Times New Roman" w:hint="eastAsia"/>
                <w:szCs w:val="21"/>
                <w:lang w:val="en-US" w:eastAsia="zh-CN"/>
              </w:rPr>
            </w:pPr>
            <w:r>
              <w:rPr>
                <w:rFonts w:ascii="Times New Roman" w:eastAsia="方正仿宋_GBK" w:hAnsi="Times New Roman" w:hint="eastAsia"/>
                <w:szCs w:val="21"/>
              </w:rPr>
              <w:t>胡老师：</w:t>
            </w:r>
            <w:r>
              <w:rPr>
                <w:rFonts w:ascii="Times New Roman" w:eastAsia="方正仿宋_GBK" w:hAnsi="Times New Roman" w:hint="eastAsia"/>
                <w:szCs w:val="21"/>
                <w:lang w:val="en-US" w:eastAsia="zh-CN"/>
              </w:rPr>
              <w:t>47567503</w:t>
            </w:r>
          </w:p>
          <w:p>
            <w:pPr>
              <w:spacing w:line="0" w:lineRule="atLeast"/>
              <w:ind w:firstLineChars="200" w:firstLine="420"/>
              <w:jc w:val="both"/>
              <w:rPr>
                <w:rFonts w:ascii="Times New Roman" w:eastAsia="方正仿宋_GBK" w:hAnsi="Times New Roman" w:hint="eastAsia"/>
                <w:szCs w:val="21"/>
              </w:rPr>
            </w:pPr>
          </w:p>
          <w:p>
            <w:pPr>
              <w:spacing w:line="0" w:lineRule="atLeast"/>
              <w:ind w:firstLineChars="200" w:firstLine="420"/>
              <w:jc w:val="both"/>
              <w:rPr>
                <w:rFonts w:ascii="Times New Roman" w:eastAsia="方正仿宋_GBK" w:hAnsi="Times New Roman" w:hint="eastAsia"/>
                <w:szCs w:val="21"/>
              </w:rPr>
            </w:pPr>
          </w:p>
        </w:tc>
      </w:tr>
      <w:tr>
        <w:trPr>
          <w:trHeight w:val="2999"/>
        </w:trPr>
        <w:tc>
          <w:tcPr>
            <w:tcW w:w="2794" w:type="dxa"/>
            <w:tcBorders>
              <w:top w:val="single" w:sz="4" w:space="0" w:color="auto"/>
              <w:bottom w:val="single" w:sz="4" w:space="0" w:color="auto"/>
            </w:tcBorders>
            <w:vAlign w:val="center"/>
          </w:tcPr>
          <w:p>
            <w:pPr>
              <w:spacing w:line="320" w:lineRule="exact"/>
              <w:ind w:firstLineChars="200" w:firstLine="420"/>
              <w:jc w:val="left"/>
              <w:rPr>
                <w:rFonts w:ascii="Times New Roman" w:eastAsia="方正仿宋_GBK" w:hAnsi="Times New Roman"/>
                <w:szCs w:val="21"/>
              </w:rPr>
            </w:pPr>
            <w:r>
              <w:rPr>
                <w:rFonts w:ascii="Times New Roman" w:eastAsia="方正仿宋_GBK" w:hAnsi="Times New Roman"/>
                <w:szCs w:val="21"/>
              </w:rPr>
              <w:t>区县级水土保持委员会成员单位的职能职责不够明确、不够深化，议事协调、追责问责机制还需进一步优化完善。</w:t>
            </w:r>
          </w:p>
        </w:tc>
        <w:tc>
          <w:tcPr>
            <w:tcW w:w="1112" w:type="dxa"/>
            <w:tcBorders>
              <w:top w:val="single" w:sz="4" w:space="0" w:color="auto"/>
              <w:left w:val="single" w:sz="4" w:space="0" w:color="auto"/>
              <w:bottom w:val="single" w:sz="4" w:space="0" w:color="auto"/>
            </w:tcBorders>
            <w:vAlign w:val="center"/>
          </w:tcPr>
          <w:p>
            <w:pPr>
              <w:spacing w:line="0" w:lineRule="atLeast"/>
              <w:rPr>
                <w:rFonts w:ascii="Times New Roman" w:eastAsia="方正仿宋_GBK" w:hAnsi="Times New Roman"/>
                <w:szCs w:val="21"/>
              </w:rPr>
            </w:pPr>
            <w:r>
              <w:rPr>
                <w:rFonts w:ascii="Times New Roman" w:eastAsia="方正仿宋_GBK" w:hAnsi="Times New Roman" w:hint="eastAsia"/>
                <w:szCs w:val="21"/>
              </w:rPr>
              <w:t>江津区</w:t>
            </w:r>
          </w:p>
        </w:tc>
        <w:tc>
          <w:tcPr>
            <w:tcW w:w="2300" w:type="dxa"/>
            <w:tcBorders>
              <w:top w:val="single" w:sz="4" w:space="0" w:color="auto"/>
              <w:left w:val="single" w:sz="4" w:space="0" w:color="auto"/>
              <w:bottom w:val="single" w:sz="4" w:space="0" w:color="auto"/>
            </w:tcBorders>
            <w:vAlign w:val="center"/>
          </w:tcPr>
          <w:p>
            <w:pPr>
              <w:spacing w:line="0" w:lineRule="atLeast"/>
              <w:ind w:firstLineChars="200" w:firstLine="420"/>
              <w:rPr>
                <w:rFonts w:ascii="Times New Roman" w:eastAsia="方正仿宋_GBK" w:hAnsi="Times New Roman"/>
                <w:szCs w:val="21"/>
              </w:rPr>
            </w:pPr>
            <w:r>
              <w:rPr>
                <w:rFonts w:ascii="Times New Roman" w:eastAsia="方正仿宋_GBK" w:hAnsi="Times New Roman"/>
                <w:szCs w:val="21"/>
              </w:rPr>
              <w:t>优化完善江津区水土保持委员会成员单位的职能职责、议事协调、追责问责机制。</w:t>
            </w:r>
          </w:p>
        </w:tc>
        <w:tc>
          <w:tcPr>
            <w:tcW w:w="4038" w:type="dxa"/>
            <w:tcBorders>
              <w:top w:val="single" w:sz="4" w:space="0" w:color="auto"/>
              <w:left w:val="single" w:sz="4" w:space="0" w:color="auto"/>
              <w:bottom w:val="single" w:sz="4" w:space="0" w:color="auto"/>
            </w:tcBorders>
            <w:vAlign w:val="center"/>
          </w:tcPr>
          <w:p>
            <w:pPr>
              <w:spacing w:line="0" w:lineRule="atLeast"/>
              <w:ind w:firstLineChars="200" w:firstLine="420"/>
              <w:rPr>
                <w:rFonts w:ascii="Times New Roman" w:eastAsia="方正仿宋_GBK" w:hAnsi="Times New Roman"/>
                <w:szCs w:val="21"/>
              </w:rPr>
            </w:pPr>
            <w:r>
              <w:rPr>
                <w:rFonts w:ascii="Times New Roman" w:eastAsia="方正仿宋_GBK" w:hAnsi="Times New Roman"/>
                <w:szCs w:val="21"/>
              </w:rPr>
              <w:t>为明确江津区水土保持委员会成员单位的职能职责、深化议事协调、追责问责机制，区水保委根据《中华人民共和国水土保持法》、《重庆区实施&lt;中华人民共和国水土保持法&gt;办法》等法律法规，制定了《重庆市江津区水土保持委员会工作细则》。细则中明确了区水保委和成员单位的职能职责、对会议制度、公文办理制度、报告制度、调研和督促落实制度、问责追责制度、激励奖励等制度。江津区水土保持成员单位的职能职责进一步明确，议事协调、追责问责机制进一步完善，水土流失协同监管机制全面建立。</w:t>
            </w:r>
          </w:p>
        </w:tc>
        <w:tc>
          <w:tcPr>
            <w:tcW w:w="1537" w:type="dxa"/>
            <w:tcBorders>
              <w:top w:val="single" w:sz="4" w:space="0" w:color="auto"/>
              <w:left w:val="single" w:sz="4" w:space="0" w:color="auto"/>
              <w:bottom w:val="single" w:sz="4" w:space="0" w:color="auto"/>
            </w:tcBorders>
            <w:vAlign w:val="center"/>
          </w:tcPr>
          <w:p>
            <w:pPr>
              <w:spacing w:line="0" w:lineRule="atLeast"/>
              <w:ind w:left="0"/>
              <w:jc w:val="both"/>
              <w:rPr>
                <w:rFonts w:ascii="Times New Roman" w:eastAsia="方正仿宋_GBK" w:hAnsi="Times New Roman" w:hint="eastAsia"/>
                <w:szCs w:val="21"/>
              </w:rPr>
            </w:pPr>
            <w:r>
              <w:rPr>
                <w:rFonts w:ascii="Times New Roman" w:eastAsia="方正仿宋_GBK" w:hAnsi="Times New Roman" w:hint="eastAsia"/>
                <w:szCs w:val="21"/>
                <w:lang w:val="en-US" w:eastAsia="zh-CN"/>
              </w:rPr>
              <w:t>2022</w:t>
            </w:r>
            <w:r>
              <w:rPr>
                <w:rFonts w:ascii="Times New Roman" w:eastAsia="方正仿宋_GBK" w:hAnsi="Times New Roman" w:hint="eastAsia"/>
                <w:szCs w:val="21"/>
              </w:rPr>
              <w:t>年4月</w:t>
            </w:r>
          </w:p>
        </w:tc>
        <w:tc>
          <w:tcPr>
            <w:tcW w:w="1155" w:type="dxa"/>
            <w:tcBorders>
              <w:top w:val="single" w:sz="4" w:space="0" w:color="auto"/>
              <w:left w:val="single" w:sz="4" w:space="0" w:color="auto"/>
              <w:bottom w:val="single" w:sz="4" w:space="0" w:color="auto"/>
            </w:tcBorders>
            <w:vAlign w:val="center"/>
          </w:tcPr>
          <w:p>
            <w:pPr>
              <w:spacing w:line="0" w:lineRule="atLeast"/>
              <w:ind w:firstLineChars="200" w:firstLine="420"/>
              <w:jc w:val="both"/>
              <w:rPr>
                <w:rFonts w:ascii="Times New Roman" w:eastAsia="方正仿宋_GBK" w:hAnsi="Times New Roman" w:hint="eastAsia"/>
                <w:szCs w:val="21"/>
              </w:rPr>
            </w:pPr>
          </w:p>
          <w:p>
            <w:pPr>
              <w:spacing w:line="0" w:lineRule="atLeast"/>
              <w:ind w:firstLineChars="200" w:firstLine="420"/>
              <w:jc w:val="both"/>
              <w:rPr>
                <w:rFonts w:ascii="Times New Roman" w:eastAsia="方正仿宋_GBK" w:hAnsi="Times New Roman" w:hint="eastAsia"/>
                <w:szCs w:val="21"/>
              </w:rPr>
            </w:pPr>
          </w:p>
          <w:p>
            <w:pPr>
              <w:spacing w:line="0" w:lineRule="atLeast"/>
              <w:ind w:left="0"/>
              <w:jc w:val="both"/>
              <w:rPr>
                <w:rFonts w:ascii="Times New Roman" w:eastAsia="方正仿宋_GBK" w:hAnsi="Times New Roman" w:hint="eastAsia"/>
                <w:szCs w:val="21"/>
                <w:lang w:val="en-US" w:eastAsia="zh-CN"/>
              </w:rPr>
            </w:pPr>
            <w:r>
              <w:rPr>
                <w:rFonts w:ascii="Times New Roman" w:eastAsia="方正仿宋_GBK" w:hAnsi="Times New Roman" w:hint="eastAsia"/>
                <w:szCs w:val="21"/>
              </w:rPr>
              <w:t>胡老师：</w:t>
            </w:r>
            <w:r>
              <w:rPr>
                <w:rFonts w:ascii="Times New Roman" w:eastAsia="方正仿宋_GBK" w:hAnsi="Times New Roman" w:hint="eastAsia"/>
                <w:szCs w:val="21"/>
                <w:lang w:val="en-US" w:eastAsia="zh-CN"/>
              </w:rPr>
              <w:t>47567503</w:t>
            </w:r>
          </w:p>
          <w:p>
            <w:pPr>
              <w:spacing w:line="0" w:lineRule="atLeast"/>
              <w:ind w:firstLineChars="200" w:firstLine="420"/>
              <w:jc w:val="both"/>
              <w:rPr>
                <w:rFonts w:ascii="Times New Roman" w:eastAsia="方正仿宋_GBK" w:hAnsi="Times New Roman" w:hint="eastAsia"/>
                <w:szCs w:val="21"/>
              </w:rPr>
            </w:pPr>
          </w:p>
          <w:p>
            <w:pPr>
              <w:spacing w:line="0" w:lineRule="atLeast"/>
              <w:ind w:firstLineChars="200" w:firstLine="420"/>
              <w:jc w:val="both"/>
              <w:rPr>
                <w:rFonts w:ascii="Times New Roman" w:eastAsia="方正仿宋_GBK" w:hAnsi="Times New Roman" w:hint="eastAsia"/>
                <w:szCs w:val="21"/>
              </w:rPr>
            </w:pPr>
          </w:p>
        </w:tc>
      </w:tr>
      <w:tr>
        <w:trPr>
          <w:trHeight w:val="2999"/>
        </w:trPr>
        <w:tc>
          <w:tcPr>
            <w:tcW w:w="2794" w:type="dxa"/>
            <w:tcBorders>
              <w:top w:val="single" w:sz="4" w:space="0" w:color="auto"/>
              <w:bottom w:val="single" w:sz="4" w:space="0" w:color="auto"/>
            </w:tcBorders>
            <w:vAlign w:val="center"/>
          </w:tcPr>
          <w:p>
            <w:pPr>
              <w:spacing w:line="320" w:lineRule="exact"/>
              <w:ind w:firstLineChars="200" w:firstLine="420"/>
              <w:jc w:val="left"/>
              <w:rPr>
                <w:rFonts w:ascii="Times New Roman" w:eastAsia="方正仿宋_GBK" w:hAnsi="Times New Roman"/>
                <w:szCs w:val="21"/>
              </w:rPr>
            </w:pPr>
            <w:r>
              <w:rPr>
                <w:rFonts w:ascii="Times New Roman" w:eastAsia="方正仿宋_GBK" w:hAnsi="Times New Roman"/>
                <w:szCs w:val="21"/>
              </w:rPr>
              <w:t>区县水土流失协同监管机制尚未全面建立，水土保持工作在水利部门内部单循环，各部门信息互通、工作联动作用不强。</w:t>
            </w:r>
          </w:p>
        </w:tc>
        <w:tc>
          <w:tcPr>
            <w:tcW w:w="1112" w:type="dxa"/>
            <w:tcBorders>
              <w:top w:val="single" w:sz="4" w:space="0" w:color="auto"/>
              <w:left w:val="single" w:sz="4" w:space="0" w:color="auto"/>
              <w:bottom w:val="single" w:sz="4" w:space="0" w:color="auto"/>
            </w:tcBorders>
            <w:vAlign w:val="center"/>
          </w:tcPr>
          <w:p>
            <w:pPr>
              <w:spacing w:line="0" w:lineRule="atLeast"/>
              <w:rPr>
                <w:rFonts w:ascii="Times New Roman" w:eastAsia="方正仿宋_GBK" w:hAnsi="Times New Roman"/>
                <w:szCs w:val="21"/>
              </w:rPr>
            </w:pPr>
            <w:r>
              <w:rPr>
                <w:rFonts w:ascii="Times New Roman" w:eastAsia="方正仿宋_GBK" w:hAnsi="Times New Roman" w:hint="eastAsia"/>
                <w:szCs w:val="21"/>
              </w:rPr>
              <w:t>江津区</w:t>
            </w:r>
          </w:p>
        </w:tc>
        <w:tc>
          <w:tcPr>
            <w:tcW w:w="2300" w:type="dxa"/>
            <w:tcBorders>
              <w:top w:val="single" w:sz="4" w:space="0" w:color="auto"/>
              <w:left w:val="single" w:sz="4" w:space="0" w:color="auto"/>
              <w:bottom w:val="single" w:sz="4" w:space="0" w:color="auto"/>
            </w:tcBorders>
            <w:vAlign w:val="center"/>
          </w:tcPr>
          <w:p>
            <w:pPr>
              <w:spacing w:line="0" w:lineRule="atLeast"/>
              <w:ind w:firstLineChars="200" w:firstLine="420"/>
              <w:rPr>
                <w:rFonts w:ascii="Times New Roman" w:eastAsia="方正仿宋_GBK" w:hAnsi="Times New Roman"/>
                <w:szCs w:val="21"/>
              </w:rPr>
            </w:pPr>
            <w:r>
              <w:rPr>
                <w:rFonts w:ascii="Times New Roman" w:eastAsia="方正仿宋_GBK" w:hAnsi="Times New Roman"/>
                <w:szCs w:val="21"/>
              </w:rPr>
              <w:t>健全长效机制，促进江津区水土保持成员单位部门间形成合力。</w:t>
            </w:r>
          </w:p>
        </w:tc>
        <w:tc>
          <w:tcPr>
            <w:tcW w:w="4038" w:type="dxa"/>
            <w:tcBorders>
              <w:top w:val="single" w:sz="4" w:space="0" w:color="auto"/>
              <w:left w:val="single" w:sz="4" w:space="0" w:color="auto"/>
              <w:bottom w:val="single" w:sz="4" w:space="0" w:color="auto"/>
            </w:tcBorders>
            <w:vAlign w:val="center"/>
          </w:tcPr>
          <w:p>
            <w:pPr>
              <w:spacing w:line="0" w:lineRule="atLeast"/>
              <w:ind w:firstLineChars="200" w:firstLine="420"/>
              <w:rPr>
                <w:rFonts w:ascii="Times New Roman" w:eastAsia="方正仿宋_GBK" w:hAnsi="Times New Roman"/>
                <w:szCs w:val="21"/>
              </w:rPr>
            </w:pPr>
            <w:r>
              <w:rPr>
                <w:rFonts w:ascii="Times New Roman" w:eastAsia="方正仿宋_GBK" w:hAnsi="Times New Roman"/>
                <w:szCs w:val="21"/>
              </w:rPr>
              <w:t>江津区水土保持委员会为健全长效机制，促销政府各部门间形成合力，制定了《重庆市江津区水土保持成员单位联动工作制度》，对联合会议、联合督查、联合执法等工作做了明确规定。江津区水土保持成员单位信息互通，各部门形成合力，工作联动性强。</w:t>
            </w:r>
          </w:p>
        </w:tc>
        <w:tc>
          <w:tcPr>
            <w:tcW w:w="1537" w:type="dxa"/>
            <w:tcBorders>
              <w:top w:val="single" w:sz="4" w:space="0" w:color="auto"/>
              <w:left w:val="single" w:sz="4" w:space="0" w:color="auto"/>
              <w:bottom w:val="single" w:sz="4" w:space="0" w:color="auto"/>
            </w:tcBorders>
            <w:vAlign w:val="center"/>
          </w:tcPr>
          <w:p>
            <w:pPr>
              <w:spacing w:line="0" w:lineRule="atLeast"/>
              <w:ind w:left="0"/>
              <w:jc w:val="both"/>
              <w:rPr>
                <w:rFonts w:ascii="Times New Roman" w:eastAsia="方正仿宋_GBK" w:hAnsi="Times New Roman" w:hint="eastAsia"/>
                <w:szCs w:val="21"/>
              </w:rPr>
            </w:pPr>
            <w:r>
              <w:rPr>
                <w:rFonts w:ascii="Times New Roman" w:eastAsia="方正仿宋_GBK" w:hAnsi="Times New Roman" w:hint="eastAsia"/>
                <w:szCs w:val="21"/>
                <w:lang w:val="en-US" w:eastAsia="zh-CN"/>
              </w:rPr>
              <w:t>2022</w:t>
            </w:r>
            <w:r>
              <w:rPr>
                <w:rFonts w:ascii="Times New Roman" w:eastAsia="方正仿宋_GBK" w:hAnsi="Times New Roman" w:hint="eastAsia"/>
                <w:szCs w:val="21"/>
              </w:rPr>
              <w:t>年4</w:t>
            </w:r>
            <w:r>
              <w:rPr>
                <w:rFonts w:ascii="Times New Roman" w:eastAsia="方正仿宋_GBK" w:hAnsi="Times New Roman"/>
                <w:szCs w:val="21"/>
              </w:rPr>
              <w:t xml:space="preserve"> </w:t>
            </w:r>
            <w:r>
              <w:rPr>
                <w:rFonts w:ascii="Times New Roman" w:eastAsia="方正仿宋_GBK" w:hAnsi="Times New Roman" w:hint="eastAsia"/>
                <w:szCs w:val="21"/>
              </w:rPr>
              <w:t>月</w:t>
            </w:r>
          </w:p>
        </w:tc>
        <w:tc>
          <w:tcPr>
            <w:tcW w:w="1155" w:type="dxa"/>
            <w:tcBorders>
              <w:top w:val="single" w:sz="4" w:space="0" w:color="auto"/>
              <w:left w:val="single" w:sz="4" w:space="0" w:color="auto"/>
              <w:bottom w:val="single" w:sz="4" w:space="0" w:color="auto"/>
            </w:tcBorders>
            <w:vAlign w:val="center"/>
          </w:tcPr>
          <w:p>
            <w:pPr>
              <w:spacing w:line="0" w:lineRule="atLeast"/>
              <w:ind w:firstLineChars="200" w:firstLine="420"/>
              <w:jc w:val="both"/>
              <w:rPr>
                <w:rFonts w:ascii="Times New Roman" w:eastAsia="方正仿宋_GBK" w:hAnsi="Times New Roman" w:hint="eastAsia"/>
                <w:szCs w:val="21"/>
              </w:rPr>
            </w:pPr>
          </w:p>
          <w:p>
            <w:pPr>
              <w:spacing w:line="0" w:lineRule="atLeast"/>
              <w:ind w:firstLineChars="200" w:firstLine="420"/>
              <w:jc w:val="both"/>
              <w:rPr>
                <w:rFonts w:ascii="Times New Roman" w:eastAsia="方正仿宋_GBK" w:hAnsi="Times New Roman" w:hint="eastAsia"/>
                <w:szCs w:val="21"/>
              </w:rPr>
            </w:pPr>
          </w:p>
          <w:p>
            <w:pPr>
              <w:spacing w:line="0" w:lineRule="atLeast"/>
              <w:ind w:left="0"/>
              <w:jc w:val="both"/>
              <w:rPr>
                <w:rFonts w:ascii="Times New Roman" w:eastAsia="方正仿宋_GBK" w:hAnsi="Times New Roman" w:hint="eastAsia"/>
                <w:szCs w:val="21"/>
                <w:lang w:val="en-US" w:eastAsia="zh-CN"/>
              </w:rPr>
            </w:pPr>
            <w:r>
              <w:rPr>
                <w:rFonts w:ascii="Times New Roman" w:eastAsia="方正仿宋_GBK" w:hAnsi="Times New Roman" w:hint="eastAsia"/>
                <w:szCs w:val="21"/>
              </w:rPr>
              <w:t>胡老师：</w:t>
            </w:r>
            <w:r>
              <w:rPr>
                <w:rFonts w:ascii="Times New Roman" w:eastAsia="方正仿宋_GBK" w:hAnsi="Times New Roman" w:hint="eastAsia"/>
                <w:szCs w:val="21"/>
                <w:lang w:val="en-US" w:eastAsia="zh-CN"/>
              </w:rPr>
              <w:t>47567503</w:t>
            </w:r>
          </w:p>
          <w:p>
            <w:pPr>
              <w:spacing w:line="0" w:lineRule="atLeast"/>
              <w:ind w:firstLineChars="200" w:firstLine="420"/>
              <w:jc w:val="both"/>
              <w:rPr>
                <w:rFonts w:ascii="Times New Roman" w:eastAsia="方正仿宋_GBK" w:hAnsi="Times New Roman" w:hint="eastAsia"/>
                <w:szCs w:val="21"/>
              </w:rPr>
            </w:pPr>
          </w:p>
          <w:p>
            <w:pPr>
              <w:spacing w:line="0" w:lineRule="atLeast"/>
              <w:ind w:firstLineChars="200" w:firstLine="420"/>
              <w:jc w:val="both"/>
              <w:rPr>
                <w:rFonts w:ascii="Times New Roman" w:eastAsia="方正仿宋_GBK" w:hAnsi="Times New Roman" w:hint="eastAsia"/>
                <w:szCs w:val="21"/>
              </w:rPr>
            </w:pPr>
          </w:p>
        </w:tc>
      </w:tr>
    </w:tbl>
    <w:p>
      <w:pPr>
        <w:spacing w:line="0" w:lineRule="atLeast"/>
        <w:rPr>
          <w:rFonts w:ascii="方正仿宋_GBK" w:eastAsia="方正仿宋_GBK"/>
          <w:szCs w:val="21"/>
        </w:rPr>
      </w:pPr>
    </w:p>
    <w:sectPr>
      <w:pgSz w:w="16838" w:h="11906" w:orient="landscape"/>
      <w:pgMar w:top="1588" w:right="2098" w:bottom="1474" w:left="1985"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微软雅黑">
    <w:altName w:val="文泉驿正黑"/>
    <w:panose1 w:val="020B0503020204020204"/>
    <w:charset w:val="86"/>
    <w:family w:val="swiss"/>
    <w:pitch w:val="variable"/>
    <w:sig w:usb0="80000287" w:usb1="280F3C52" w:usb2="00000016" w:usb3="00000000" w:csb0="0004001F" w:csb1="00000000"/>
  </w:font>
  <w:font w:name="方正仿宋_GBK">
    <w:panose1 w:val="03000509000000000000"/>
    <w:charset w:val="86"/>
    <w:family w:val="script"/>
    <w:pitch w:val="variable"/>
    <w:sig w:usb0="00000001" w:usb1="080E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003" w:usb1="288F0000" w:usb2="00000006" w:usb3="00000000" w:csb0="00040001" w:csb1="00000000"/>
  </w:font>
  <w:font w:name="等线">
    <w:altName w:val="文泉驿正黑"/>
    <w:panose1 w:val="02010600030101010101"/>
    <w:charset w:val="86"/>
    <w:family w:val="auto"/>
    <w:pitch w:val="variable"/>
    <w:sig w:usb0="A00002BF" w:usb1="38CF7CFA" w:usb2="00000016" w:usb3="00000000" w:csb0="0004000F" w:csb1="00000000"/>
  </w:font>
  <w:font w:name="Arial">
    <w:altName w:val="DejaVu Sans"/>
    <w:panose1 w:val="020B0604020202020204"/>
    <w:charset w:val="01"/>
    <w:family w:val="swiss"/>
    <w:pitch w:val="variable"/>
    <w:sig w:usb0="E0002AFF" w:usb1="C0007843" w:usb2="00000009" w:usb3="00000000" w:csb0="400001FF" w:csb1="FFFF0000"/>
  </w:font>
  <w:font w:name="黑体">
    <w:altName w:val="方正黑体_GBK"/>
    <w:panose1 w:val="00000000000000000000"/>
    <w:charset w:val="00"/>
    <w:family w:val="auto"/>
    <w:pitch w:val="variable"/>
    <w:sig w:usb0="00000000" w:usb1="00000000" w:usb2="00000000" w:usb3="00000000" w:csb0="0000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customStyle="1" w:styleId="17">
    <w:name w:val="11p1"/>
    <w:rPr>
      <w:sz w:val="23"/>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91</TotalTime>
  <Application>Yozo_Office27021597764231179</Application>
  <Pages>3</Pages>
  <Words>1272</Words>
  <Characters>1329</Characters>
  <Lines>129</Lines>
  <Paragraphs>31</Paragraphs>
  <CharactersWithSpaces>1330</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uos</cp:lastModifiedBy>
  <cp:revision>16</cp:revision>
  <cp:lastPrinted>2021-12-02T07:39:00Z</cp:lastPrinted>
  <dcterms:created xsi:type="dcterms:W3CDTF">2021-02-05T02:40:00Z</dcterms:created>
  <dcterms:modified xsi:type="dcterms:W3CDTF">2022-05-26T06:53:21Z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2052-11.1.0.11115</vt:lpwstr>
  </property>
  <property fmtid="{D5CDD505-2E9C-101B-9397-08002B2CF9AE}" pid="3" name="KSOSaveFontToCloudKey">
    <vt:lpwstr>0_btnclosed</vt:lpwstr>
  </property>
  <property fmtid="{D5CDD505-2E9C-101B-9397-08002B2CF9AE}" pid="4" name="ICV">
    <vt:lpwstr>02D11DE209044512A73ECEB58E416ADB</vt:lpwstr>
  </property>
</Properties>
</file>