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eastAsia="方正小标宋简体" w:cs="Times New Roman"/>
          <w:sz w:val="44"/>
          <w:szCs w:val="44"/>
        </w:rPr>
      </w:pPr>
    </w:p>
    <w:p>
      <w:pPr>
        <w:spacing w:line="579" w:lineRule="exact"/>
        <w:jc w:val="center"/>
        <w:rPr>
          <w:rFonts w:eastAsia="方正小标宋简体" w:cs="Times New Roman"/>
          <w:sz w:val="44"/>
          <w:szCs w:val="44"/>
        </w:rPr>
      </w:pPr>
    </w:p>
    <w:p>
      <w:pPr>
        <w:spacing w:line="579" w:lineRule="exact"/>
        <w:jc w:val="center"/>
        <w:rPr>
          <w:rFonts w:eastAsia="方正小标宋简体" w:cs="Times New Roman"/>
          <w:sz w:val="36"/>
          <w:szCs w:val="36"/>
        </w:rPr>
      </w:pPr>
      <w:r>
        <w:rPr>
          <w:rFonts w:hint="eastAsia" w:eastAsia="方正小标宋简体" w:cs="Times New Roman"/>
          <w:sz w:val="36"/>
          <w:szCs w:val="36"/>
        </w:rPr>
        <w:t>重庆市江津区“</w:t>
      </w:r>
      <w:r>
        <w:rPr>
          <w:rFonts w:eastAsia="方正小标宋简体" w:cs="Times New Roman"/>
          <w:sz w:val="36"/>
          <w:szCs w:val="36"/>
        </w:rPr>
        <w:t>十四五</w:t>
      </w:r>
      <w:r>
        <w:rPr>
          <w:rFonts w:hint="eastAsia" w:eastAsia="方正小标宋简体" w:cs="Times New Roman"/>
          <w:sz w:val="36"/>
          <w:szCs w:val="36"/>
        </w:rPr>
        <w:t>”</w:t>
      </w:r>
      <w:r>
        <w:rPr>
          <w:rFonts w:eastAsia="方正小标宋简体" w:cs="Times New Roman"/>
          <w:sz w:val="36"/>
          <w:szCs w:val="36"/>
        </w:rPr>
        <w:t>土壤</w:t>
      </w:r>
      <w:r>
        <w:rPr>
          <w:rFonts w:hint="eastAsia" w:eastAsia="方正小标宋简体" w:cs="Times New Roman"/>
          <w:sz w:val="36"/>
          <w:szCs w:val="36"/>
        </w:rPr>
        <w:t>污染防治</w:t>
      </w:r>
      <w:r>
        <w:rPr>
          <w:rFonts w:eastAsia="方正小标宋简体" w:cs="Times New Roman"/>
          <w:sz w:val="36"/>
          <w:szCs w:val="36"/>
        </w:rPr>
        <w:t>规划</w:t>
      </w: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 w:val="36"/>
          <w:szCs w:val="36"/>
        </w:rPr>
      </w:pPr>
    </w:p>
    <w:p>
      <w:pPr>
        <w:spacing w:line="579" w:lineRule="exact"/>
        <w:jc w:val="center"/>
        <w:rPr>
          <w:rFonts w:eastAsia="方正小标宋简体" w:cs="Times New Roman"/>
          <w:szCs w:val="32"/>
        </w:rPr>
      </w:pPr>
      <w:r>
        <w:rPr>
          <w:rFonts w:hint="eastAsia" w:eastAsia="方正小标宋简体" w:cs="Times New Roman"/>
          <w:szCs w:val="32"/>
        </w:rPr>
        <w:t>江津区生态环境局</w:t>
      </w:r>
    </w:p>
    <w:p>
      <w:pPr>
        <w:spacing w:line="579" w:lineRule="exact"/>
        <w:jc w:val="center"/>
        <w:rPr>
          <w:rFonts w:ascii="方正黑体_GBK" w:eastAsia="方正黑体_GBK" w:cs="Times New Roman"/>
          <w:szCs w:val="32"/>
        </w:rPr>
      </w:pPr>
      <w:r>
        <w:rPr>
          <w:rFonts w:hint="eastAsia" w:ascii="方正黑体_GBK" w:eastAsia="方正黑体_GBK" w:cs="Times New Roman"/>
          <w:szCs w:val="32"/>
        </w:rPr>
        <w:t>二〇二一年十月</w:t>
      </w:r>
    </w:p>
    <w:p>
      <w:pPr>
        <w:spacing w:line="579" w:lineRule="exact"/>
        <w:jc w:val="center"/>
        <w:rPr>
          <w:rFonts w:ascii="方正黑体_GBK" w:eastAsia="方正黑体_GBK" w:cs="Times New Roman"/>
          <w:szCs w:val="32"/>
        </w:rPr>
      </w:pPr>
    </w:p>
    <w:p>
      <w:pPr>
        <w:spacing w:line="579" w:lineRule="exact"/>
        <w:jc w:val="center"/>
        <w:rPr>
          <w:rFonts w:ascii="方正黑体_GBK" w:eastAsia="方正黑体_GBK" w:cs="Times New Roman"/>
          <w:szCs w:val="32"/>
        </w:rPr>
      </w:pPr>
    </w:p>
    <w:p>
      <w:pPr>
        <w:spacing w:line="579" w:lineRule="exact"/>
        <w:jc w:val="center"/>
        <w:rPr>
          <w:rFonts w:ascii="方正黑体_GBK" w:eastAsia="方正黑体_GBK" w:cs="Times New Roman"/>
          <w:szCs w:val="32"/>
        </w:rPr>
      </w:pPr>
      <w:r>
        <w:rPr>
          <w:rFonts w:ascii="方正黑体_GBK" w:eastAsia="方正黑体_GBK" w:cs="Times New Roman"/>
          <w:szCs w:val="32"/>
        </w:rPr>
        <w:br w:type="page"/>
      </w:r>
    </w:p>
    <w:p>
      <w:pPr>
        <w:spacing w:line="579" w:lineRule="exact"/>
        <w:jc w:val="center"/>
        <w:rPr>
          <w:rFonts w:ascii="方正黑体_GBK" w:eastAsia="方正黑体_GBK" w:cs="Times New Roman"/>
          <w:szCs w:val="32"/>
        </w:rPr>
      </w:pPr>
    </w:p>
    <w:p>
      <w:pPr>
        <w:spacing w:line="579" w:lineRule="exact"/>
        <w:jc w:val="center"/>
        <w:rPr>
          <w:rFonts w:ascii="方正黑体_GBK" w:eastAsia="方正黑体_GBK" w:cs="Times New Roman"/>
          <w:szCs w:val="32"/>
        </w:rPr>
      </w:pPr>
    </w:p>
    <w:p>
      <w:pPr>
        <w:spacing w:line="579" w:lineRule="exact"/>
        <w:jc w:val="center"/>
        <w:rPr>
          <w:rFonts w:ascii="方正黑体_GBK" w:eastAsia="方正黑体_GBK" w:cs="Times New Roman"/>
          <w:szCs w:val="32"/>
        </w:rPr>
        <w:sectPr>
          <w:footerReference r:id="rId5" w:type="first"/>
          <w:footerReference r:id="rId3" w:type="default"/>
          <w:footerReference r:id="rId4" w:type="even"/>
          <w:pgSz w:w="11906" w:h="16838"/>
          <w:pgMar w:top="2098" w:right="1474" w:bottom="1985" w:left="1588" w:header="851" w:footer="992" w:gutter="0"/>
          <w:cols w:space="425" w:num="1"/>
          <w:docGrid w:type="lines" w:linePitch="312" w:charSpace="0"/>
        </w:sectPr>
      </w:pPr>
      <w:r>
        <w:rPr>
          <w:rFonts w:ascii="方正黑体_GBK" w:eastAsia="方正黑体_GBK" w:cs="Times New Roman"/>
          <w:szCs w:val="32"/>
        </w:rPr>
        <w:br w:type="page"/>
      </w:r>
    </w:p>
    <w:p>
      <w:pPr>
        <w:jc w:val="center"/>
        <w:rPr>
          <w:rFonts w:ascii="黑体" w:hAnsi="黑体" w:eastAsia="黑体" w:cs="Times New Roman"/>
          <w:szCs w:val="32"/>
        </w:rPr>
      </w:pPr>
      <w:r>
        <w:rPr>
          <w:rFonts w:hint="eastAsia" w:ascii="黑体" w:hAnsi="黑体" w:eastAsia="黑体" w:cs="Times New Roman"/>
          <w:szCs w:val="32"/>
        </w:rPr>
        <w:t>目  录</w:t>
      </w:r>
    </w:p>
    <w:p>
      <w:pPr>
        <w:pStyle w:val="20"/>
        <w:tabs>
          <w:tab w:val="right" w:leader="dot" w:pos="8834"/>
        </w:tabs>
        <w:rPr>
          <w:rFonts w:eastAsiaTheme="minorEastAsia"/>
          <w:sz w:val="21"/>
        </w:rPr>
      </w:pPr>
      <w:r>
        <w:rPr>
          <w:szCs w:val="32"/>
        </w:rPr>
        <w:fldChar w:fldCharType="begin"/>
      </w:r>
      <w:r>
        <w:rPr>
          <w:szCs w:val="32"/>
        </w:rPr>
        <w:instrText xml:space="preserve"> TOC \o "1-3" \h \z \u </w:instrText>
      </w:r>
      <w:r>
        <w:rPr>
          <w:szCs w:val="32"/>
        </w:rPr>
        <w:fldChar w:fldCharType="separate"/>
      </w:r>
      <w:r>
        <w:fldChar w:fldCharType="begin"/>
      </w:r>
      <w:r>
        <w:instrText xml:space="preserve"> HYPERLINK \l "_Toc85018494" </w:instrText>
      </w:r>
      <w:r>
        <w:fldChar w:fldCharType="separate"/>
      </w:r>
      <w:r>
        <w:rPr>
          <w:rStyle w:val="35"/>
          <w:lang w:val="zh-CN"/>
        </w:rPr>
        <w:t xml:space="preserve">第一章 </w:t>
      </w:r>
      <w:r>
        <w:rPr>
          <w:rStyle w:val="35"/>
        </w:rPr>
        <w:t>现状与“十四五”时期总体形势研判</w:t>
      </w:r>
      <w:r>
        <w:tab/>
      </w:r>
      <w:r>
        <w:fldChar w:fldCharType="begin"/>
      </w:r>
      <w:r>
        <w:instrText xml:space="preserve"> PAGEREF _Toc85018494 \h </w:instrText>
      </w:r>
      <w:r>
        <w:fldChar w:fldCharType="separate"/>
      </w:r>
      <w:r>
        <w:t>1</w:t>
      </w:r>
      <w:r>
        <w:fldChar w:fldCharType="end"/>
      </w:r>
      <w: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"_Toc85018495" </w:instrText>
      </w:r>
      <w:r>
        <w:fldChar w:fldCharType="separate"/>
      </w:r>
      <w:r>
        <w:rPr>
          <w:rStyle w:val="35"/>
          <w:rFonts w:ascii="Times New Roman" w:hAnsi="Times New Roman"/>
        </w:rPr>
        <w:t>（</w:t>
      </w:r>
      <w:r>
        <w:rPr>
          <w:rStyle w:val="35"/>
          <w:rFonts w:ascii="Times New Roman" w:hAnsi="Times New Roman"/>
          <w:lang w:val="zh-CN"/>
        </w:rPr>
        <w:t>一</w:t>
      </w:r>
      <w:r>
        <w:rPr>
          <w:rStyle w:val="35"/>
          <w:rFonts w:ascii="Times New Roman" w:hAnsi="Times New Roman"/>
        </w:rPr>
        <w:t>）“</w:t>
      </w:r>
      <w:r>
        <w:rPr>
          <w:rStyle w:val="35"/>
          <w:rFonts w:ascii="Times New Roman" w:hAnsi="Times New Roman"/>
          <w:lang w:val="zh-CN"/>
        </w:rPr>
        <w:t>十三五</w:t>
      </w:r>
      <w:r>
        <w:rPr>
          <w:rStyle w:val="35"/>
          <w:rFonts w:ascii="Times New Roman" w:hAnsi="Times New Roman"/>
        </w:rPr>
        <w:t>”取得的工作成效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_Toc85018495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4"/>
        <w:tabs>
          <w:tab w:val="right" w:leader="dot" w:pos="8834"/>
        </w:tabs>
        <w:ind w:left="960"/>
        <w:rPr>
          <w:rFonts w:eastAsiaTheme="minorEastAsia"/>
          <w:sz w:val="21"/>
        </w:rPr>
      </w:pPr>
      <w:r>
        <w:fldChar w:fldCharType="begin"/>
      </w:r>
      <w:r>
        <w:instrText xml:space="preserve"> HYPERLINK \l "_Toc85018496" </w:instrText>
      </w:r>
      <w:r>
        <w:fldChar w:fldCharType="separate"/>
      </w:r>
      <w:r>
        <w:rPr>
          <w:rStyle w:val="35"/>
        </w:rPr>
        <w:t>1.土壤环境风险得到有效管控</w:t>
      </w:r>
      <w:r>
        <w:tab/>
      </w:r>
      <w:r>
        <w:fldChar w:fldCharType="begin"/>
      </w:r>
      <w:r>
        <w:instrText xml:space="preserve"> PAGEREF _Toc85018496 \h </w:instrText>
      </w:r>
      <w:r>
        <w:fldChar w:fldCharType="separate"/>
      </w:r>
      <w:r>
        <w:t>2</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"_Toc85018497" </w:instrText>
      </w:r>
      <w:r>
        <w:fldChar w:fldCharType="separate"/>
      </w:r>
      <w:r>
        <w:rPr>
          <w:rStyle w:val="35"/>
        </w:rPr>
        <w:t>2.农业农村生态环境保护取得积极进展</w:t>
      </w:r>
      <w:r>
        <w:tab/>
      </w:r>
      <w:r>
        <w:fldChar w:fldCharType="begin"/>
      </w:r>
      <w:r>
        <w:instrText xml:space="preserve"> PAGEREF _Toc85018497 \h </w:instrText>
      </w:r>
      <w:r>
        <w:fldChar w:fldCharType="separate"/>
      </w:r>
      <w:r>
        <w:t>4</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"_Toc85018498" </w:instrText>
      </w:r>
      <w:r>
        <w:fldChar w:fldCharType="separate"/>
      </w:r>
      <w:r>
        <w:rPr>
          <w:rStyle w:val="35"/>
        </w:rPr>
        <w:t>3.地下水污染防治逐步推开</w:t>
      </w:r>
      <w:r>
        <w:tab/>
      </w:r>
      <w:r>
        <w:fldChar w:fldCharType="begin"/>
      </w:r>
      <w:r>
        <w:instrText xml:space="preserve"> PAGEREF _Toc85018498 \h </w:instrText>
      </w:r>
      <w:r>
        <w:fldChar w:fldCharType="separate"/>
      </w:r>
      <w:r>
        <w:t>7</w:t>
      </w:r>
      <w:r>
        <w:fldChar w:fldCharType="end"/>
      </w:r>
      <w: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"_Toc85018499" </w:instrText>
      </w:r>
      <w:r>
        <w:fldChar w:fldCharType="separate"/>
      </w:r>
      <w:r>
        <w:rPr>
          <w:rStyle w:val="35"/>
          <w:rFonts w:ascii="Times New Roman" w:hAnsi="Times New Roman"/>
          <w:lang w:val="zh-CN"/>
        </w:rPr>
        <w:t>（二）存在的主要问题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_Toc85018499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pPr>
        <w:pStyle w:val="14"/>
        <w:tabs>
          <w:tab w:val="right" w:leader="dot" w:pos="8834"/>
        </w:tabs>
        <w:ind w:left="960"/>
        <w:rPr>
          <w:rFonts w:eastAsiaTheme="minorEastAsia"/>
          <w:sz w:val="21"/>
        </w:rPr>
      </w:pPr>
      <w:r>
        <w:fldChar w:fldCharType="begin"/>
      </w:r>
      <w:r>
        <w:instrText xml:space="preserve"> HYPERLINK \l "_Toc85018500" </w:instrText>
      </w:r>
      <w:r>
        <w:fldChar w:fldCharType="separate"/>
      </w:r>
      <w:r>
        <w:rPr>
          <w:rStyle w:val="35"/>
          <w:lang w:val="zh-CN"/>
        </w:rPr>
        <w:t>1.土壤污染防治需进一步强化</w:t>
      </w:r>
      <w:r>
        <w:tab/>
      </w:r>
      <w:r>
        <w:fldChar w:fldCharType="begin"/>
      </w:r>
      <w:r>
        <w:instrText xml:space="preserve"> PAGEREF _Toc85018500 \h </w:instrText>
      </w:r>
      <w:r>
        <w:fldChar w:fldCharType="separate"/>
      </w:r>
      <w:r>
        <w:t>8</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"_Toc85018501" </w:instrText>
      </w:r>
      <w:r>
        <w:fldChar w:fldCharType="separate"/>
      </w:r>
      <w:r>
        <w:rPr>
          <w:rStyle w:val="35"/>
          <w:lang w:val="zh-CN"/>
        </w:rPr>
        <w:t>2.农业农村生态环境亟需改善</w:t>
      </w:r>
      <w:r>
        <w:tab/>
      </w:r>
      <w:r>
        <w:fldChar w:fldCharType="begin"/>
      </w:r>
      <w:r>
        <w:instrText xml:space="preserve"> PAGEREF _Toc85018501 \h </w:instrText>
      </w:r>
      <w:r>
        <w:fldChar w:fldCharType="separate"/>
      </w:r>
      <w:r>
        <w:t>9</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"_Toc85018502" </w:instrText>
      </w:r>
      <w:r>
        <w:fldChar w:fldCharType="separate"/>
      </w:r>
      <w:r>
        <w:rPr>
          <w:rStyle w:val="35"/>
          <w:lang w:val="zh-CN"/>
        </w:rPr>
        <w:t>3.地下水污染防治工作形势严峻</w:t>
      </w:r>
      <w:r>
        <w:tab/>
      </w:r>
      <w:r>
        <w:fldChar w:fldCharType="begin"/>
      </w:r>
      <w:r>
        <w:instrText xml:space="preserve"> PAGEREF _Toc85018502 \h </w:instrText>
      </w:r>
      <w:r>
        <w:fldChar w:fldCharType="separate"/>
      </w:r>
      <w:r>
        <w:t>10</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"_Toc85018503" </w:instrText>
      </w:r>
      <w:r>
        <w:fldChar w:fldCharType="separate"/>
      </w:r>
      <w:r>
        <w:rPr>
          <w:rStyle w:val="35"/>
          <w:lang w:val="zh-CN"/>
        </w:rPr>
        <w:t>4.环境监管能力亟需提升</w:t>
      </w:r>
      <w:r>
        <w:tab/>
      </w:r>
      <w:r>
        <w:fldChar w:fldCharType="begin"/>
      </w:r>
      <w:r>
        <w:instrText xml:space="preserve"> PAGEREF _Toc85018503 \h </w:instrText>
      </w:r>
      <w:r>
        <w:fldChar w:fldCharType="separate"/>
      </w:r>
      <w:r>
        <w:t>11</w:t>
      </w:r>
      <w:r>
        <w:fldChar w:fldCharType="end"/>
      </w:r>
      <w: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"_Toc85018504" </w:instrText>
      </w:r>
      <w:r>
        <w:fldChar w:fldCharType="separate"/>
      </w:r>
      <w:r>
        <w:rPr>
          <w:rStyle w:val="35"/>
          <w:rFonts w:ascii="Times New Roman" w:hAnsi="Times New Roman"/>
          <w:lang w:val="zh-CN"/>
        </w:rPr>
        <w:t>（三）“十四五”期间总体形势研判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_Toc85018504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pPr>
        <w:pStyle w:val="14"/>
        <w:tabs>
          <w:tab w:val="right" w:leader="dot" w:pos="8834"/>
        </w:tabs>
        <w:ind w:left="960"/>
        <w:rPr>
          <w:rFonts w:eastAsiaTheme="minorEastAsia"/>
          <w:sz w:val="21"/>
        </w:rPr>
      </w:pPr>
      <w:r>
        <w:fldChar w:fldCharType="begin"/>
      </w:r>
      <w:r>
        <w:instrText xml:space="preserve"> HYPERLINK \l "_Toc85018505" </w:instrText>
      </w:r>
      <w:r>
        <w:fldChar w:fldCharType="separate"/>
      </w:r>
      <w:r>
        <w:rPr>
          <w:rStyle w:val="35"/>
          <w:lang w:val="zh-CN"/>
        </w:rPr>
        <w:t>1.土壤污染防治面临的重要机遇</w:t>
      </w:r>
      <w:r>
        <w:tab/>
      </w:r>
      <w:r>
        <w:fldChar w:fldCharType="begin"/>
      </w:r>
      <w:r>
        <w:instrText xml:space="preserve"> PAGEREF _Toc85018505 \h </w:instrText>
      </w:r>
      <w:r>
        <w:fldChar w:fldCharType="separate"/>
      </w:r>
      <w:r>
        <w:t>12</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"_Toc85018506" </w:instrText>
      </w:r>
      <w:r>
        <w:fldChar w:fldCharType="separate"/>
      </w:r>
      <w:r>
        <w:rPr>
          <w:rStyle w:val="35"/>
          <w:lang w:val="zh-CN"/>
        </w:rPr>
        <w:t>2.土壤污染防治面临的挑战</w:t>
      </w:r>
      <w:r>
        <w:tab/>
      </w:r>
      <w:r>
        <w:fldChar w:fldCharType="begin"/>
      </w:r>
      <w:r>
        <w:instrText xml:space="preserve"> PAGEREF _Toc85018506 \h </w:instrText>
      </w:r>
      <w:r>
        <w:fldChar w:fldCharType="separate"/>
      </w:r>
      <w:r>
        <w:t>13</w:t>
      </w:r>
      <w:r>
        <w:fldChar w:fldCharType="end"/>
      </w:r>
      <w:r>
        <w:fldChar w:fldCharType="end"/>
      </w:r>
    </w:p>
    <w:p>
      <w:pPr>
        <w:pStyle w:val="20"/>
        <w:tabs>
          <w:tab w:val="right" w:leader="dot" w:pos="8834"/>
        </w:tabs>
        <w:rPr>
          <w:rFonts w:eastAsiaTheme="minorEastAsia"/>
          <w:sz w:val="21"/>
        </w:rPr>
      </w:pPr>
      <w:r>
        <w:fldChar w:fldCharType="begin"/>
      </w:r>
      <w:r>
        <w:instrText xml:space="preserve"> HYPERLINK \l "_Toc85018507" </w:instrText>
      </w:r>
      <w:r>
        <w:fldChar w:fldCharType="separate"/>
      </w:r>
      <w:r>
        <w:rPr>
          <w:rStyle w:val="35"/>
          <w:lang w:val="zh-CN"/>
        </w:rPr>
        <w:t>第二章 总体</w:t>
      </w:r>
      <w:r>
        <w:rPr>
          <w:rStyle w:val="35"/>
        </w:rPr>
        <w:t>思路</w:t>
      </w:r>
      <w:r>
        <w:tab/>
      </w:r>
      <w:r>
        <w:fldChar w:fldCharType="begin"/>
      </w:r>
      <w:r>
        <w:instrText xml:space="preserve"> PAGEREF _Toc85018507 \h </w:instrText>
      </w:r>
      <w:r>
        <w:fldChar w:fldCharType="separate"/>
      </w:r>
      <w:r>
        <w:t>15</w:t>
      </w:r>
      <w:r>
        <w:fldChar w:fldCharType="end"/>
      </w:r>
      <w: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"_Toc85018508" </w:instrText>
      </w:r>
      <w:r>
        <w:fldChar w:fldCharType="separate"/>
      </w:r>
      <w:r>
        <w:rPr>
          <w:rStyle w:val="35"/>
          <w:rFonts w:ascii="Times New Roman" w:hAnsi="Times New Roman"/>
          <w:lang w:val="zh-CN"/>
        </w:rPr>
        <w:t>（一）指导思想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_Toc85018508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"_Toc85018509" </w:instrText>
      </w:r>
      <w:r>
        <w:fldChar w:fldCharType="separate"/>
      </w:r>
      <w:r>
        <w:rPr>
          <w:rStyle w:val="35"/>
          <w:rFonts w:ascii="Times New Roman" w:hAnsi="Times New Roman"/>
          <w:bCs/>
          <w:lang w:val="zh-CN"/>
        </w:rPr>
        <w:t>（二）基本原则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_Toc85018509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"_Toc85018510" </w:instrText>
      </w:r>
      <w:r>
        <w:fldChar w:fldCharType="separate"/>
      </w:r>
      <w:r>
        <w:rPr>
          <w:rStyle w:val="35"/>
          <w:rFonts w:ascii="Times New Roman" w:hAnsi="Times New Roman"/>
          <w:bCs/>
          <w:lang w:val="zh-CN"/>
        </w:rPr>
        <w:t>（三）</w:t>
      </w:r>
      <w:r>
        <w:rPr>
          <w:rStyle w:val="35"/>
          <w:rFonts w:ascii="Times New Roman" w:hAnsi="Times New Roman"/>
          <w:bCs/>
        </w:rPr>
        <w:t>目标指标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_Toc85018510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pPr>
        <w:pStyle w:val="20"/>
        <w:tabs>
          <w:tab w:val="right" w:leader="dot" w:pos="8834"/>
        </w:tabs>
        <w:rPr>
          <w:rFonts w:eastAsiaTheme="minorEastAsia"/>
          <w:sz w:val="21"/>
        </w:rPr>
      </w:pPr>
      <w:r>
        <w:fldChar w:fldCharType="begin"/>
      </w:r>
      <w:r>
        <w:instrText xml:space="preserve"> HYPERLINK \l "_Toc85018511" </w:instrText>
      </w:r>
      <w:r>
        <w:fldChar w:fldCharType="separate"/>
      </w:r>
      <w:r>
        <w:rPr>
          <w:rStyle w:val="35"/>
        </w:rPr>
        <w:t>第三章 主要</w:t>
      </w:r>
      <w:r>
        <w:rPr>
          <w:rStyle w:val="35"/>
          <w:lang w:val="zh-CN"/>
        </w:rPr>
        <w:t>任务</w:t>
      </w:r>
      <w:r>
        <w:tab/>
      </w:r>
      <w:r>
        <w:fldChar w:fldCharType="begin"/>
      </w:r>
      <w:r>
        <w:instrText xml:space="preserve"> PAGEREF _Toc85018511 \h </w:instrText>
      </w:r>
      <w:r>
        <w:fldChar w:fldCharType="separate"/>
      </w:r>
      <w:r>
        <w:t>19</w:t>
      </w:r>
      <w:r>
        <w:fldChar w:fldCharType="end"/>
      </w:r>
      <w: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"_Toc85018512" </w:instrText>
      </w:r>
      <w:r>
        <w:fldChar w:fldCharType="separate"/>
      </w:r>
      <w:r>
        <w:rPr>
          <w:rStyle w:val="35"/>
          <w:rFonts w:ascii="Times New Roman" w:hAnsi="Times New Roman"/>
          <w:lang w:val="zh-CN"/>
        </w:rPr>
        <w:t>（一）加强土壤</w:t>
      </w:r>
      <w:r>
        <w:rPr>
          <w:rStyle w:val="35"/>
          <w:rFonts w:ascii="Times New Roman" w:hAnsi="Times New Roman"/>
        </w:rPr>
        <w:t>生态环境保护与污染风险管控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_Toc85018512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14"/>
        <w:tabs>
          <w:tab w:val="right" w:leader="dot" w:pos="8834"/>
        </w:tabs>
        <w:ind w:left="960"/>
        <w:rPr>
          <w:rFonts w:eastAsiaTheme="minorEastAsia"/>
          <w:sz w:val="21"/>
        </w:rPr>
      </w:pPr>
      <w:r>
        <w:fldChar w:fldCharType="begin"/>
      </w:r>
      <w:r>
        <w:instrText xml:space="preserve"> HYPERLINK \l "_Toc85018513" </w:instrText>
      </w:r>
      <w:r>
        <w:fldChar w:fldCharType="separate"/>
      </w:r>
      <w:r>
        <w:rPr>
          <w:rStyle w:val="35"/>
        </w:rPr>
        <w:t>1.源头防控土壤污染</w:t>
      </w:r>
      <w:r>
        <w:tab/>
      </w:r>
      <w:r>
        <w:fldChar w:fldCharType="begin"/>
      </w:r>
      <w:r>
        <w:instrText xml:space="preserve"> PAGEREF _Toc85018513 \h </w:instrText>
      </w:r>
      <w:r>
        <w:fldChar w:fldCharType="separate"/>
      </w:r>
      <w:r>
        <w:t>19</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"_Toc85018514" </w:instrText>
      </w:r>
      <w:r>
        <w:fldChar w:fldCharType="separate"/>
      </w:r>
      <w:r>
        <w:rPr>
          <w:rStyle w:val="35"/>
        </w:rPr>
        <w:t>2.全面实施农用地土壤分类管控</w:t>
      </w:r>
      <w:r>
        <w:tab/>
      </w:r>
      <w:r>
        <w:fldChar w:fldCharType="begin"/>
      </w:r>
      <w:r>
        <w:instrText xml:space="preserve"> PAGEREF _Toc85018514 \h </w:instrText>
      </w:r>
      <w:r>
        <w:fldChar w:fldCharType="separate"/>
      </w:r>
      <w:r>
        <w:t>20</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"_Toc85018515" </w:instrText>
      </w:r>
      <w:r>
        <w:fldChar w:fldCharType="separate"/>
      </w:r>
      <w:r>
        <w:rPr>
          <w:rStyle w:val="35"/>
        </w:rPr>
        <w:t>3.严格管控和修复受污染建设用地</w:t>
      </w:r>
      <w:r>
        <w:tab/>
      </w:r>
      <w:r>
        <w:fldChar w:fldCharType="begin"/>
      </w:r>
      <w:r>
        <w:instrText xml:space="preserve"> PAGEREF _Toc85018515 \h </w:instrText>
      </w:r>
      <w:r>
        <w:fldChar w:fldCharType="separate"/>
      </w:r>
      <w:r>
        <w:t>23</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"_Toc85018516" </w:instrText>
      </w:r>
      <w:r>
        <w:fldChar w:fldCharType="separate"/>
      </w:r>
      <w:r>
        <w:rPr>
          <w:rStyle w:val="35"/>
        </w:rPr>
        <w:t>4.加强土壤污染修复过程的监管</w:t>
      </w:r>
      <w:r>
        <w:tab/>
      </w:r>
      <w:r>
        <w:fldChar w:fldCharType="begin"/>
      </w:r>
      <w:r>
        <w:instrText xml:space="preserve"> PAGEREF _Toc85018516 \h </w:instrText>
      </w:r>
      <w:r>
        <w:fldChar w:fldCharType="separate"/>
      </w:r>
      <w:r>
        <w:t>24</w:t>
      </w:r>
      <w:r>
        <w:fldChar w:fldCharType="end"/>
      </w:r>
      <w: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"_Toc85018517" </w:instrText>
      </w:r>
      <w:r>
        <w:fldChar w:fldCharType="separate"/>
      </w:r>
      <w:r>
        <w:rPr>
          <w:rStyle w:val="35"/>
          <w:rFonts w:ascii="Times New Roman" w:hAnsi="Times New Roman"/>
        </w:rPr>
        <w:t>（二）改善农业农村生态环境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_Toc85018517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pPr>
        <w:pStyle w:val="14"/>
        <w:tabs>
          <w:tab w:val="right" w:leader="dot" w:pos="8834"/>
        </w:tabs>
        <w:ind w:left="960"/>
        <w:rPr>
          <w:rFonts w:eastAsiaTheme="minorEastAsia"/>
          <w:sz w:val="21"/>
        </w:rPr>
      </w:pPr>
      <w:r>
        <w:fldChar w:fldCharType="begin"/>
      </w:r>
      <w:r>
        <w:instrText xml:space="preserve"> HYPERLINK \l "_Toc85018518" </w:instrText>
      </w:r>
      <w:r>
        <w:fldChar w:fldCharType="separate"/>
      </w:r>
      <w:r>
        <w:rPr>
          <w:rStyle w:val="35"/>
        </w:rPr>
        <w:t>1.加强农村饮用水水源保护</w:t>
      </w:r>
      <w:r>
        <w:tab/>
      </w:r>
      <w:r>
        <w:fldChar w:fldCharType="begin"/>
      </w:r>
      <w:r>
        <w:instrText xml:space="preserve"> PAGEREF _Toc85018518 \h </w:instrText>
      </w:r>
      <w:r>
        <w:fldChar w:fldCharType="separate"/>
      </w:r>
      <w:r>
        <w:t>25</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"_Toc85018519" </w:instrText>
      </w:r>
      <w:r>
        <w:fldChar w:fldCharType="separate"/>
      </w:r>
      <w:r>
        <w:rPr>
          <w:rStyle w:val="35"/>
        </w:rPr>
        <w:t>2.防范农业生产污染</w:t>
      </w:r>
      <w:r>
        <w:tab/>
      </w:r>
      <w:r>
        <w:fldChar w:fldCharType="begin"/>
      </w:r>
      <w:r>
        <w:instrText xml:space="preserve"> PAGEREF _Toc85018519 \h </w:instrText>
      </w:r>
      <w:r>
        <w:fldChar w:fldCharType="separate"/>
      </w:r>
      <w:r>
        <w:t>26</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"_Toc85018520" </w:instrText>
      </w:r>
      <w:r>
        <w:fldChar w:fldCharType="separate"/>
      </w:r>
      <w:r>
        <w:rPr>
          <w:rStyle w:val="35"/>
        </w:rPr>
        <w:t>3.全面提升农村人居环境</w:t>
      </w:r>
      <w:r>
        <w:tab/>
      </w:r>
      <w:r>
        <w:fldChar w:fldCharType="begin"/>
      </w:r>
      <w:r>
        <w:instrText xml:space="preserve"> PAGEREF _Toc85018520 \h </w:instrText>
      </w:r>
      <w:r>
        <w:fldChar w:fldCharType="separate"/>
      </w:r>
      <w:r>
        <w:t>28</w:t>
      </w:r>
      <w:r>
        <w:fldChar w:fldCharType="end"/>
      </w:r>
      <w: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"_Toc85018521" </w:instrText>
      </w:r>
      <w:r>
        <w:fldChar w:fldCharType="separate"/>
      </w:r>
      <w:r>
        <w:rPr>
          <w:rStyle w:val="35"/>
          <w:rFonts w:ascii="Times New Roman" w:hAnsi="Times New Roman"/>
          <w:lang w:val="zh-CN"/>
        </w:rPr>
        <w:t>（三）推进地下水</w:t>
      </w:r>
      <w:r>
        <w:rPr>
          <w:rStyle w:val="35"/>
          <w:rFonts w:ascii="Times New Roman" w:hAnsi="Times New Roman"/>
        </w:rPr>
        <w:t>生态环境保护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_Toc85018521 \h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fldChar w:fldCharType="end"/>
      </w:r>
    </w:p>
    <w:p>
      <w:pPr>
        <w:pStyle w:val="14"/>
        <w:tabs>
          <w:tab w:val="right" w:leader="dot" w:pos="8834"/>
        </w:tabs>
        <w:ind w:left="960"/>
        <w:rPr>
          <w:rFonts w:eastAsiaTheme="minorEastAsia"/>
          <w:sz w:val="21"/>
        </w:rPr>
      </w:pPr>
      <w:r>
        <w:fldChar w:fldCharType="begin"/>
      </w:r>
      <w:r>
        <w:instrText xml:space="preserve"> HYPERLINK \l "_Toc85018522" </w:instrText>
      </w:r>
      <w:r>
        <w:fldChar w:fldCharType="separate"/>
      </w:r>
      <w:r>
        <w:rPr>
          <w:rStyle w:val="35"/>
        </w:rPr>
        <w:t>1.持续推进地下水调查评估</w:t>
      </w:r>
      <w:r>
        <w:tab/>
      </w:r>
      <w:r>
        <w:fldChar w:fldCharType="begin"/>
      </w:r>
      <w:r>
        <w:instrText xml:space="preserve"> PAGEREF _Toc85018522 \h </w:instrText>
      </w:r>
      <w:r>
        <w:fldChar w:fldCharType="separate"/>
      </w:r>
      <w:r>
        <w:t>30</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"_Toc85018523" </w:instrText>
      </w:r>
      <w:r>
        <w:fldChar w:fldCharType="separate"/>
      </w:r>
      <w:r>
        <w:rPr>
          <w:rStyle w:val="35"/>
        </w:rPr>
        <w:t>2.加强地下水水源环境保护</w:t>
      </w:r>
      <w:r>
        <w:tab/>
      </w:r>
      <w:r>
        <w:fldChar w:fldCharType="begin"/>
      </w:r>
      <w:r>
        <w:instrText xml:space="preserve"> PAGEREF _Toc85018523 \h </w:instrText>
      </w:r>
      <w:r>
        <w:fldChar w:fldCharType="separate"/>
      </w:r>
      <w:r>
        <w:t>32</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"_Toc85018524" </w:instrText>
      </w:r>
      <w:r>
        <w:fldChar w:fldCharType="separate"/>
      </w:r>
      <w:r>
        <w:rPr>
          <w:rStyle w:val="35"/>
        </w:rPr>
        <w:t>3.强化地下水污染源头预防</w:t>
      </w:r>
      <w:r>
        <w:tab/>
      </w:r>
      <w:r>
        <w:fldChar w:fldCharType="begin"/>
      </w:r>
      <w:r>
        <w:instrText xml:space="preserve"> PAGEREF _Toc85018524 \h </w:instrText>
      </w:r>
      <w:r>
        <w:fldChar w:fldCharType="separate"/>
      </w:r>
      <w:r>
        <w:t>32</w:t>
      </w:r>
      <w:r>
        <w:fldChar w:fldCharType="end"/>
      </w:r>
      <w:r>
        <w:fldChar w:fldCharType="end"/>
      </w:r>
    </w:p>
    <w:p>
      <w:pPr>
        <w:pStyle w:val="14"/>
        <w:tabs>
          <w:tab w:val="right" w:leader="dot" w:pos="8834"/>
        </w:tabs>
        <w:ind w:left="960"/>
        <w:rPr>
          <w:rFonts w:eastAsiaTheme="minorEastAsia"/>
          <w:sz w:val="21"/>
        </w:rPr>
      </w:pPr>
      <w:r>
        <w:fldChar w:fldCharType="begin"/>
      </w:r>
      <w:r>
        <w:instrText xml:space="preserve"> HYPERLINK \l "_Toc85018525" </w:instrText>
      </w:r>
      <w:r>
        <w:fldChar w:fldCharType="separate"/>
      </w:r>
      <w:r>
        <w:rPr>
          <w:rStyle w:val="35"/>
        </w:rPr>
        <w:t>4.推进地下水污染风险管控与修复</w:t>
      </w:r>
      <w:r>
        <w:tab/>
      </w:r>
      <w:r>
        <w:fldChar w:fldCharType="begin"/>
      </w:r>
      <w:r>
        <w:instrText xml:space="preserve"> PAGEREF _Toc85018525 \h </w:instrText>
      </w:r>
      <w:r>
        <w:fldChar w:fldCharType="separate"/>
      </w:r>
      <w:r>
        <w:t>34</w:t>
      </w:r>
      <w:r>
        <w:fldChar w:fldCharType="end"/>
      </w:r>
      <w: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"_Toc85018526" </w:instrText>
      </w:r>
      <w:r>
        <w:fldChar w:fldCharType="separate"/>
      </w:r>
      <w:r>
        <w:rPr>
          <w:rStyle w:val="35"/>
          <w:rFonts w:ascii="Times New Roman" w:hAnsi="Times New Roman"/>
          <w:lang w:val="zh-CN"/>
        </w:rPr>
        <w:t>（四）推进多污染要素协同防治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_Toc85018526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pPr>
        <w:pStyle w:val="27"/>
        <w:tabs>
          <w:tab w:val="right" w:leader="dot" w:pos="8834"/>
        </w:tabs>
        <w:ind w:left="640"/>
        <w:rPr>
          <w:rFonts w:ascii="Times New Roman" w:hAnsi="Times New Roman" w:eastAsiaTheme="minorEastAsia"/>
          <w:sz w:val="21"/>
        </w:rPr>
      </w:pPr>
      <w:r>
        <w:fldChar w:fldCharType="begin"/>
      </w:r>
      <w:r>
        <w:instrText xml:space="preserve"> HYPERLINK \l "_Toc85018527" </w:instrText>
      </w:r>
      <w:r>
        <w:fldChar w:fldCharType="separate"/>
      </w:r>
      <w:r>
        <w:rPr>
          <w:rStyle w:val="35"/>
          <w:rFonts w:ascii="Times New Roman" w:hAnsi="Times New Roman"/>
          <w:lang w:val="zh-CN"/>
        </w:rPr>
        <w:t>（五）提升</w:t>
      </w:r>
      <w:r>
        <w:rPr>
          <w:rStyle w:val="35"/>
          <w:rFonts w:ascii="Times New Roman" w:hAnsi="Times New Roman"/>
        </w:rPr>
        <w:t>土壤、地下水与农业农村生态环境监管能力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_Toc85018527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pPr>
        <w:pStyle w:val="20"/>
        <w:tabs>
          <w:tab w:val="right" w:leader="dot" w:pos="8834"/>
        </w:tabs>
        <w:rPr>
          <w:rFonts w:eastAsiaTheme="minorEastAsia"/>
          <w:sz w:val="21"/>
        </w:rPr>
      </w:pPr>
      <w:r>
        <w:fldChar w:fldCharType="begin"/>
      </w:r>
      <w:r>
        <w:instrText xml:space="preserve"> HYPERLINK \l "_Toc85018528" </w:instrText>
      </w:r>
      <w:r>
        <w:fldChar w:fldCharType="separate"/>
      </w:r>
      <w:r>
        <w:rPr>
          <w:rStyle w:val="35"/>
        </w:rPr>
        <w:t>第四章 重大工程</w:t>
      </w:r>
      <w:r>
        <w:tab/>
      </w:r>
      <w:r>
        <w:fldChar w:fldCharType="begin"/>
      </w:r>
      <w:r>
        <w:instrText xml:space="preserve"> PAGEREF _Toc85018528 \h </w:instrText>
      </w:r>
      <w:r>
        <w:fldChar w:fldCharType="separate"/>
      </w:r>
      <w:r>
        <w:t>40</w:t>
      </w:r>
      <w:r>
        <w:fldChar w:fldCharType="end"/>
      </w:r>
      <w:r>
        <w:fldChar w:fldCharType="end"/>
      </w:r>
    </w:p>
    <w:p>
      <w:pPr>
        <w:pStyle w:val="20"/>
        <w:tabs>
          <w:tab w:val="right" w:leader="dot" w:pos="8834"/>
        </w:tabs>
        <w:rPr>
          <w:rFonts w:eastAsiaTheme="minorEastAsia"/>
          <w:sz w:val="21"/>
        </w:rPr>
      </w:pPr>
      <w:r>
        <w:fldChar w:fldCharType="begin"/>
      </w:r>
      <w:r>
        <w:instrText xml:space="preserve"> HYPERLINK \l "_Toc85018529" </w:instrText>
      </w:r>
      <w:r>
        <w:fldChar w:fldCharType="separate"/>
      </w:r>
      <w:r>
        <w:rPr>
          <w:rStyle w:val="35"/>
        </w:rPr>
        <w:t>第五章 保障措施</w:t>
      </w:r>
      <w:r>
        <w:tab/>
      </w:r>
      <w:r>
        <w:fldChar w:fldCharType="begin"/>
      </w:r>
      <w:r>
        <w:instrText xml:space="preserve"> PAGEREF _Toc85018529 \h </w:instrText>
      </w:r>
      <w:r>
        <w:fldChar w:fldCharType="separate"/>
      </w:r>
      <w:r>
        <w:t>40</w:t>
      </w:r>
      <w:r>
        <w:fldChar w:fldCharType="end"/>
      </w:r>
      <w:r>
        <w:fldChar w:fldCharType="end"/>
      </w:r>
    </w:p>
    <w:p>
      <w:pPr>
        <w:spacing w:line="579" w:lineRule="exact"/>
        <w:jc w:val="center"/>
        <w:rPr>
          <w:rFonts w:ascii="方正黑体_GBK" w:eastAsia="方正黑体_GBK" w:cs="Times New Roman"/>
          <w:szCs w:val="32"/>
        </w:rPr>
      </w:pPr>
      <w:r>
        <w:rPr>
          <w:rFonts w:eastAsia="方正黑体_GBK" w:cs="Times New Roman"/>
          <w:szCs w:val="32"/>
        </w:rPr>
        <w:fldChar w:fldCharType="end"/>
      </w:r>
    </w:p>
    <w:p>
      <w:pPr>
        <w:rPr>
          <w:rFonts w:ascii="方正黑体_GBK" w:eastAsia="方正黑体_GBK" w:cs="Times New Roman"/>
          <w:szCs w:val="32"/>
        </w:rPr>
        <w:sectPr>
          <w:headerReference r:id="rId6" w:type="default"/>
          <w:footerReference r:id="rId7" w:type="default"/>
          <w:footerReference r:id="rId8" w:type="even"/>
          <w:pgSz w:w="11906" w:h="16838"/>
          <w:pgMar w:top="2098" w:right="1474" w:bottom="1985" w:left="1588" w:header="851" w:footer="992" w:gutter="0"/>
          <w:pgNumType w:fmt="upperRoman" w:start="1"/>
          <w:cols w:space="425" w:num="1"/>
          <w:docGrid w:type="lines" w:linePitch="312" w:charSpace="0"/>
        </w:sectPr>
      </w:pPr>
    </w:p>
    <w:p>
      <w:pPr>
        <w:pStyle w:val="2"/>
      </w:pPr>
      <w:bookmarkStart w:id="0" w:name="_Toc55906087"/>
      <w:bookmarkStart w:id="1" w:name="_Toc73027382"/>
      <w:bookmarkStart w:id="2" w:name="_Toc446062054"/>
      <w:bookmarkStart w:id="3" w:name="_Toc85018494"/>
      <w:bookmarkStart w:id="4" w:name="_Toc84695726"/>
      <w:bookmarkStart w:id="5" w:name="_Toc84695453"/>
      <w:bookmarkStart w:id="6" w:name="_Toc84695810"/>
      <w:bookmarkStart w:id="7" w:name="_Toc84695678"/>
      <w:r>
        <w:rPr>
          <w:rFonts w:hint="eastAsia"/>
          <w:lang w:val="zh-CN"/>
        </w:rPr>
        <w:t>第一章</w:t>
      </w:r>
      <w:bookmarkEnd w:id="0"/>
      <w:bookmarkEnd w:id="1"/>
      <w:bookmarkEnd w:id="2"/>
      <w:r>
        <w:rPr>
          <w:rFonts w:hint="eastAsia"/>
          <w:lang w:val="zh-CN"/>
        </w:rPr>
        <w:t xml:space="preserve"> </w:t>
      </w:r>
      <w:r>
        <w:rPr>
          <w:rFonts w:hint="eastAsia"/>
        </w:rPr>
        <w:t>现状与“十四五”时期总体形势研判</w:t>
      </w:r>
      <w:bookmarkEnd w:id="3"/>
      <w:bookmarkEnd w:id="4"/>
      <w:bookmarkEnd w:id="5"/>
      <w:bookmarkEnd w:id="6"/>
      <w:bookmarkEnd w:id="7"/>
    </w:p>
    <w:p>
      <w:pPr>
        <w:pStyle w:val="3"/>
        <w:ind w:firstLine="640"/>
      </w:pPr>
      <w:bookmarkStart w:id="8" w:name="_Toc446062055"/>
      <w:bookmarkStart w:id="9" w:name="_Toc55906088"/>
      <w:bookmarkStart w:id="10" w:name="_Toc73027383"/>
      <w:bookmarkStart w:id="11" w:name="_Toc84695454"/>
      <w:bookmarkStart w:id="12" w:name="_Toc84695679"/>
      <w:bookmarkStart w:id="13" w:name="_Toc85018495"/>
      <w:bookmarkStart w:id="14" w:name="_Toc84695727"/>
      <w:bookmarkStart w:id="15" w:name="_Toc84695811"/>
      <w:r>
        <w:rPr>
          <w:rFonts w:hint="eastAsia"/>
        </w:rPr>
        <w:t>（</w:t>
      </w:r>
      <w:r>
        <w:rPr>
          <w:rFonts w:hint="eastAsia"/>
          <w:lang w:val="zh-CN"/>
        </w:rPr>
        <w:t>一</w:t>
      </w:r>
      <w:r>
        <w:rPr>
          <w:rFonts w:hint="eastAsia"/>
        </w:rPr>
        <w:t>）</w:t>
      </w:r>
      <w:bookmarkEnd w:id="8"/>
      <w:bookmarkEnd w:id="9"/>
      <w:r>
        <w:rPr>
          <w:rFonts w:hint="eastAsia"/>
        </w:rPr>
        <w:t>“</w:t>
      </w:r>
      <w:r>
        <w:rPr>
          <w:rFonts w:hint="eastAsia"/>
          <w:lang w:val="zh-CN"/>
        </w:rPr>
        <w:t>十三五</w:t>
      </w:r>
      <w:r>
        <w:rPr>
          <w:rFonts w:hint="eastAsia"/>
        </w:rPr>
        <w:t>”</w:t>
      </w:r>
      <w:bookmarkEnd w:id="10"/>
      <w:r>
        <w:rPr>
          <w:rFonts w:hint="eastAsia"/>
        </w:rPr>
        <w:t>取得的工作成效</w:t>
      </w:r>
      <w:bookmarkEnd w:id="11"/>
      <w:bookmarkEnd w:id="12"/>
      <w:bookmarkEnd w:id="13"/>
      <w:bookmarkEnd w:id="14"/>
      <w:bookmarkEnd w:id="15"/>
    </w:p>
    <w:p>
      <w:pPr>
        <w:ind w:firstLine="640" w:firstLineChars="200"/>
        <w:rPr>
          <w:rFonts w:cs="Times New Roman"/>
        </w:rPr>
      </w:pPr>
      <w:r>
        <w:rPr>
          <w:rFonts w:hint="eastAsia"/>
        </w:rPr>
        <w:t>“十三五”期间，江津区委、区政府高度重视生态文明</w:t>
      </w:r>
      <w:r>
        <w:t>建设和生态环境保护工作，</w:t>
      </w:r>
      <w:r>
        <w:rPr>
          <w:rFonts w:hint="eastAsia"/>
        </w:rPr>
        <w:t>全区深学笃用习近平生态文明思想，深入贯彻落实习近平总书记视察重庆重要讲话精神，坚定不移走生态优先、绿色发展新路，切实落实碧水、净土保卫战以及农业农村污染防治攻坚有关部署，全面贯彻落实“土十条”、“水十条”和农业农村污染治理攻坚要求，将土壤、地下水和农业农村污染防治纳入</w:t>
      </w:r>
      <w:r>
        <w:rPr>
          <w:rFonts w:cs="Times New Roman"/>
        </w:rPr>
        <w:t>污染防治攻坚战</w:t>
      </w:r>
      <w:r>
        <w:rPr>
          <w:rFonts w:hint="eastAsia" w:cs="Times New Roman"/>
        </w:rPr>
        <w:t>，全面实施</w:t>
      </w:r>
      <w:r>
        <w:rPr>
          <w:rFonts w:cs="Times New Roman"/>
          <w:szCs w:val="28"/>
        </w:rPr>
        <w:t>《江津区污染防治攻坚战实施方案（2018—2020年）》</w:t>
      </w:r>
      <w:r>
        <w:rPr>
          <w:rFonts w:hint="eastAsia" w:cs="Times New Roman"/>
          <w:szCs w:val="28"/>
        </w:rPr>
        <w:t>，通过实施</w:t>
      </w:r>
      <w:r>
        <w:rPr>
          <w:rFonts w:hint="eastAsia" w:cs="Times New Roman"/>
        </w:rPr>
        <w:t>污染状况排查、理顺推进机制、管控突出风险、实施治理修复、夯实基础能力等措施，全区土壤环境风险管控得到进一步强化，土壤污染加重趋势得到初步遏制，地下水污染防治不断深化，农业农村生态环境状况不断改善，“十三五”既定的土壤、地下水和农业农村生态环境领域指标已如期完成。</w:t>
      </w:r>
    </w:p>
    <w:p>
      <w:pPr>
        <w:jc w:val="center"/>
        <w:rPr>
          <w:rFonts w:ascii="方正黑体_GBK" w:eastAsia="方正黑体_GBK"/>
          <w:sz w:val="28"/>
          <w:szCs w:val="28"/>
        </w:rPr>
      </w:pPr>
      <w:r>
        <w:rPr>
          <w:rFonts w:hint="eastAsia" w:ascii="方正黑体_GBK" w:eastAsia="方正黑体_GBK"/>
          <w:sz w:val="28"/>
          <w:szCs w:val="28"/>
        </w:rPr>
        <w:t>专栏</w:t>
      </w:r>
      <w:r>
        <w:rPr>
          <w:rFonts w:ascii="方正黑体_GBK" w:eastAsia="方正黑体_GBK"/>
          <w:sz w:val="28"/>
          <w:szCs w:val="28"/>
        </w:rPr>
        <w:t xml:space="preserve">1 </w:t>
      </w:r>
      <w:r>
        <w:rPr>
          <w:rFonts w:hint="eastAsia" w:ascii="方正黑体_GBK" w:eastAsia="方正黑体_GBK"/>
          <w:sz w:val="28"/>
          <w:szCs w:val="28"/>
        </w:rPr>
        <w:t>“十三五”主要指标完成情况</w:t>
      </w:r>
    </w:p>
    <w:tbl>
      <w:tblPr>
        <w:tblStyle w:val="31"/>
        <w:tblW w:w="8742" w:type="dxa"/>
        <w:jc w:val="center"/>
        <w:tblBorders>
          <w:top w:val="single" w:color="343838" w:sz="4" w:space="0"/>
          <w:left w:val="single" w:color="343838" w:sz="4" w:space="0"/>
          <w:bottom w:val="single" w:color="343838" w:sz="4" w:space="0"/>
          <w:right w:val="single" w:color="343838" w:sz="4" w:space="0"/>
          <w:insideH w:val="single" w:color="343838" w:sz="4" w:space="0"/>
          <w:insideV w:val="single" w:color="343838" w:sz="4" w:space="0"/>
        </w:tblBorders>
        <w:tblLayout w:type="fixed"/>
        <w:tblCellMar>
          <w:top w:w="0" w:type="dxa"/>
          <w:left w:w="0" w:type="dxa"/>
          <w:bottom w:w="0" w:type="dxa"/>
          <w:right w:w="0" w:type="dxa"/>
        </w:tblCellMar>
      </w:tblPr>
      <w:tblGrid>
        <w:gridCol w:w="967"/>
        <w:gridCol w:w="967"/>
        <w:gridCol w:w="2542"/>
        <w:gridCol w:w="1431"/>
        <w:gridCol w:w="1559"/>
        <w:gridCol w:w="1276"/>
      </w:tblGrid>
      <w:tr>
        <w:tblPrEx>
          <w:tblBorders>
            <w:top w:val="single" w:color="343838" w:sz="4" w:space="0"/>
            <w:left w:val="single" w:color="343838" w:sz="4" w:space="0"/>
            <w:bottom w:val="single" w:color="343838" w:sz="4" w:space="0"/>
            <w:right w:val="single" w:color="343838" w:sz="4" w:space="0"/>
            <w:insideH w:val="single" w:color="343838" w:sz="4" w:space="0"/>
            <w:insideV w:val="single" w:color="343838" w:sz="4" w:space="0"/>
          </w:tblBorders>
          <w:tblCellMar>
            <w:top w:w="0" w:type="dxa"/>
            <w:left w:w="0" w:type="dxa"/>
            <w:bottom w:w="0" w:type="dxa"/>
            <w:right w:w="0" w:type="dxa"/>
          </w:tblCellMar>
        </w:tblPrEx>
        <w:trPr>
          <w:trHeight w:val="20" w:hRule="atLeast"/>
          <w:tblHeader/>
          <w:jc w:val="center"/>
        </w:trPr>
        <w:tc>
          <w:tcPr>
            <w:tcW w:w="967" w:type="dxa"/>
            <w:vAlign w:val="center"/>
          </w:tcPr>
          <w:p>
            <w:pPr>
              <w:spacing w:line="300" w:lineRule="exact"/>
              <w:jc w:val="center"/>
              <w:rPr>
                <w:rFonts w:ascii="方正黑体_GBK" w:eastAsia="方正黑体_GBK"/>
                <w:sz w:val="21"/>
                <w:szCs w:val="21"/>
              </w:rPr>
            </w:pPr>
            <w:r>
              <w:rPr>
                <w:rFonts w:hint="eastAsia" w:ascii="方正黑体_GBK" w:eastAsia="方正黑体_GBK"/>
                <w:w w:val="104"/>
                <w:sz w:val="21"/>
                <w:szCs w:val="21"/>
              </w:rPr>
              <w:t>序号</w:t>
            </w:r>
          </w:p>
        </w:tc>
        <w:tc>
          <w:tcPr>
            <w:tcW w:w="967" w:type="dxa"/>
            <w:vAlign w:val="center"/>
          </w:tcPr>
          <w:p>
            <w:pPr>
              <w:spacing w:line="300" w:lineRule="exact"/>
              <w:jc w:val="center"/>
              <w:rPr>
                <w:rFonts w:ascii="方正黑体_GBK" w:eastAsia="方正黑体_GBK"/>
                <w:sz w:val="21"/>
                <w:szCs w:val="21"/>
              </w:rPr>
            </w:pPr>
            <w:r>
              <w:rPr>
                <w:rFonts w:hint="eastAsia" w:ascii="方正黑体_GBK" w:eastAsia="方正黑体_GBK"/>
                <w:sz w:val="21"/>
                <w:szCs w:val="21"/>
              </w:rPr>
              <w:t>工作领域</w:t>
            </w:r>
          </w:p>
        </w:tc>
        <w:tc>
          <w:tcPr>
            <w:tcW w:w="2542" w:type="dxa"/>
            <w:vAlign w:val="center"/>
          </w:tcPr>
          <w:p>
            <w:pPr>
              <w:spacing w:line="300" w:lineRule="exact"/>
              <w:jc w:val="center"/>
              <w:rPr>
                <w:rFonts w:ascii="方正黑体_GBK" w:eastAsia="方正黑体_GBK"/>
                <w:sz w:val="21"/>
                <w:szCs w:val="21"/>
              </w:rPr>
            </w:pPr>
            <w:r>
              <w:rPr>
                <w:rFonts w:hint="eastAsia" w:ascii="方正黑体_GBK" w:eastAsia="方正黑体_GBK"/>
                <w:w w:val="104"/>
                <w:sz w:val="21"/>
                <w:szCs w:val="21"/>
              </w:rPr>
              <w:t>指标名称</w:t>
            </w:r>
          </w:p>
        </w:tc>
        <w:tc>
          <w:tcPr>
            <w:tcW w:w="1431" w:type="dxa"/>
            <w:tcBorders>
              <w:bottom w:val="single" w:color="auto" w:sz="4" w:space="0"/>
            </w:tcBorders>
            <w:vAlign w:val="center"/>
          </w:tcPr>
          <w:p>
            <w:pPr>
              <w:spacing w:line="300" w:lineRule="exact"/>
              <w:jc w:val="center"/>
              <w:rPr>
                <w:rFonts w:ascii="方正黑体_GBK" w:eastAsia="方正黑体_GBK"/>
                <w:sz w:val="21"/>
                <w:szCs w:val="21"/>
              </w:rPr>
            </w:pPr>
            <w:r>
              <w:rPr>
                <w:rFonts w:hint="eastAsia" w:ascii="方正黑体_GBK" w:eastAsia="方正黑体_GBK"/>
                <w:sz w:val="21"/>
                <w:szCs w:val="21"/>
              </w:rPr>
              <w:t>2</w:t>
            </w:r>
            <w:r>
              <w:rPr>
                <w:rFonts w:ascii="方正黑体_GBK" w:eastAsia="方正黑体_GBK"/>
                <w:sz w:val="21"/>
                <w:szCs w:val="21"/>
              </w:rPr>
              <w:t>020</w:t>
            </w:r>
            <w:r>
              <w:rPr>
                <w:rFonts w:hint="eastAsia" w:ascii="方正黑体_GBK" w:eastAsia="方正黑体_GBK"/>
                <w:sz w:val="21"/>
                <w:szCs w:val="21"/>
              </w:rPr>
              <w:t>年现状值</w:t>
            </w:r>
          </w:p>
        </w:tc>
        <w:tc>
          <w:tcPr>
            <w:tcW w:w="1559" w:type="dxa"/>
            <w:vAlign w:val="center"/>
          </w:tcPr>
          <w:p>
            <w:pPr>
              <w:spacing w:line="300" w:lineRule="exact"/>
              <w:jc w:val="center"/>
              <w:rPr>
                <w:rFonts w:ascii="方正黑体_GBK" w:eastAsia="方正黑体_GBK"/>
                <w:sz w:val="21"/>
                <w:szCs w:val="21"/>
              </w:rPr>
            </w:pPr>
            <w:r>
              <w:rPr>
                <w:rFonts w:hint="eastAsia" w:ascii="方正黑体_GBK" w:eastAsia="方正黑体_GBK"/>
                <w:sz w:val="21"/>
                <w:szCs w:val="21"/>
              </w:rPr>
              <w:t>2020年目标值</w:t>
            </w:r>
          </w:p>
        </w:tc>
        <w:tc>
          <w:tcPr>
            <w:tcW w:w="1276" w:type="dxa"/>
            <w:vAlign w:val="center"/>
          </w:tcPr>
          <w:p>
            <w:pPr>
              <w:spacing w:line="300" w:lineRule="exact"/>
              <w:jc w:val="center"/>
              <w:rPr>
                <w:rFonts w:ascii="方正黑体_GBK" w:eastAsia="方正黑体_GBK"/>
                <w:sz w:val="21"/>
                <w:szCs w:val="21"/>
              </w:rPr>
            </w:pPr>
            <w:r>
              <w:rPr>
                <w:rFonts w:hint="eastAsia" w:ascii="方正黑体_GBK" w:eastAsia="方正黑体_GBK"/>
                <w:sz w:val="21"/>
                <w:szCs w:val="21"/>
              </w:rPr>
              <w:t>完成情况</w:t>
            </w:r>
          </w:p>
        </w:tc>
      </w:tr>
      <w:tr>
        <w:tblPrEx>
          <w:tblBorders>
            <w:top w:val="single" w:color="343838" w:sz="4" w:space="0"/>
            <w:left w:val="single" w:color="343838" w:sz="4" w:space="0"/>
            <w:bottom w:val="single" w:color="343838" w:sz="4" w:space="0"/>
            <w:right w:val="single" w:color="343838" w:sz="4" w:space="0"/>
            <w:insideH w:val="single" w:color="343838" w:sz="4" w:space="0"/>
            <w:insideV w:val="single" w:color="343838" w:sz="4" w:space="0"/>
          </w:tblBorders>
          <w:tblCellMar>
            <w:top w:w="0" w:type="dxa"/>
            <w:left w:w="0" w:type="dxa"/>
            <w:bottom w:w="0" w:type="dxa"/>
            <w:right w:w="0" w:type="dxa"/>
          </w:tblCellMar>
        </w:tblPrEx>
        <w:trPr>
          <w:jc w:val="center"/>
        </w:trPr>
        <w:tc>
          <w:tcPr>
            <w:tcW w:w="967" w:type="dxa"/>
            <w:vAlign w:val="center"/>
          </w:tcPr>
          <w:p>
            <w:pPr>
              <w:spacing w:line="300" w:lineRule="exact"/>
              <w:jc w:val="center"/>
              <w:rPr>
                <w:sz w:val="21"/>
                <w:szCs w:val="21"/>
              </w:rPr>
            </w:pPr>
            <w:r>
              <w:rPr>
                <w:sz w:val="21"/>
                <w:szCs w:val="21"/>
              </w:rPr>
              <w:t>1</w:t>
            </w:r>
          </w:p>
        </w:tc>
        <w:tc>
          <w:tcPr>
            <w:tcW w:w="967" w:type="dxa"/>
            <w:vMerge w:val="restart"/>
            <w:vAlign w:val="center"/>
          </w:tcPr>
          <w:p>
            <w:pPr>
              <w:spacing w:line="300" w:lineRule="exact"/>
              <w:jc w:val="center"/>
              <w:rPr>
                <w:sz w:val="21"/>
                <w:szCs w:val="21"/>
              </w:rPr>
            </w:pPr>
            <w:r>
              <w:rPr>
                <w:rFonts w:hint="eastAsia"/>
                <w:sz w:val="21"/>
                <w:szCs w:val="21"/>
              </w:rPr>
              <w:t>土壤污染防治</w:t>
            </w:r>
          </w:p>
        </w:tc>
        <w:tc>
          <w:tcPr>
            <w:tcW w:w="2542" w:type="dxa"/>
            <w:vAlign w:val="center"/>
          </w:tcPr>
          <w:p>
            <w:pPr>
              <w:spacing w:line="300" w:lineRule="exact"/>
              <w:jc w:val="center"/>
              <w:rPr>
                <w:kern w:val="0"/>
                <w:sz w:val="21"/>
                <w:szCs w:val="21"/>
              </w:rPr>
            </w:pPr>
            <w:r>
              <w:rPr>
                <w:rFonts w:hint="eastAsia"/>
                <w:sz w:val="21"/>
                <w:szCs w:val="21"/>
              </w:rPr>
              <w:t>污染地块安全利用率（%）</w:t>
            </w:r>
          </w:p>
        </w:tc>
        <w:tc>
          <w:tcPr>
            <w:tcW w:w="1431" w:type="dxa"/>
            <w:vAlign w:val="center"/>
          </w:tcPr>
          <w:p>
            <w:pPr>
              <w:spacing w:line="300" w:lineRule="exact"/>
              <w:jc w:val="center"/>
              <w:rPr>
                <w:sz w:val="21"/>
                <w:szCs w:val="21"/>
              </w:rPr>
            </w:pPr>
            <w:r>
              <w:rPr>
                <w:rFonts w:hint="eastAsia"/>
                <w:sz w:val="21"/>
                <w:szCs w:val="21"/>
              </w:rPr>
              <w:t>9</w:t>
            </w:r>
            <w:r>
              <w:rPr>
                <w:sz w:val="21"/>
                <w:szCs w:val="21"/>
              </w:rPr>
              <w:t>5</w:t>
            </w:r>
          </w:p>
        </w:tc>
        <w:tc>
          <w:tcPr>
            <w:tcW w:w="1559" w:type="dxa"/>
            <w:vAlign w:val="center"/>
          </w:tcPr>
          <w:p>
            <w:pPr>
              <w:spacing w:line="300" w:lineRule="exact"/>
              <w:jc w:val="center"/>
              <w:rPr>
                <w:sz w:val="21"/>
                <w:szCs w:val="21"/>
              </w:rPr>
            </w:pPr>
            <w:r>
              <w:rPr>
                <w:rFonts w:hint="eastAsia"/>
                <w:sz w:val="21"/>
                <w:szCs w:val="21"/>
              </w:rPr>
              <w:t>*</w:t>
            </w:r>
          </w:p>
        </w:tc>
        <w:tc>
          <w:tcPr>
            <w:tcW w:w="1276" w:type="dxa"/>
            <w:vAlign w:val="center"/>
          </w:tcPr>
          <w:p>
            <w:pPr>
              <w:spacing w:line="300" w:lineRule="exact"/>
              <w:jc w:val="center"/>
              <w:rPr>
                <w:sz w:val="21"/>
                <w:szCs w:val="21"/>
              </w:rPr>
            </w:pPr>
            <w:r>
              <w:rPr>
                <w:sz w:val="21"/>
                <w:szCs w:val="21"/>
              </w:rPr>
              <w:t>完成</w:t>
            </w:r>
          </w:p>
        </w:tc>
      </w:tr>
      <w:tr>
        <w:tblPrEx>
          <w:tblBorders>
            <w:top w:val="single" w:color="343838" w:sz="4" w:space="0"/>
            <w:left w:val="single" w:color="343838" w:sz="4" w:space="0"/>
            <w:bottom w:val="single" w:color="343838" w:sz="4" w:space="0"/>
            <w:right w:val="single" w:color="343838" w:sz="4" w:space="0"/>
            <w:insideH w:val="single" w:color="343838" w:sz="4" w:space="0"/>
            <w:insideV w:val="single" w:color="343838" w:sz="4" w:space="0"/>
          </w:tblBorders>
          <w:tblCellMar>
            <w:top w:w="0" w:type="dxa"/>
            <w:left w:w="0" w:type="dxa"/>
            <w:bottom w:w="0" w:type="dxa"/>
            <w:right w:w="0" w:type="dxa"/>
          </w:tblCellMar>
        </w:tblPrEx>
        <w:trPr>
          <w:jc w:val="center"/>
        </w:trPr>
        <w:tc>
          <w:tcPr>
            <w:tcW w:w="967" w:type="dxa"/>
            <w:vAlign w:val="center"/>
          </w:tcPr>
          <w:p>
            <w:pPr>
              <w:spacing w:line="300" w:lineRule="exact"/>
              <w:jc w:val="center"/>
              <w:rPr>
                <w:sz w:val="21"/>
                <w:szCs w:val="21"/>
              </w:rPr>
            </w:pPr>
            <w:r>
              <w:rPr>
                <w:sz w:val="21"/>
                <w:szCs w:val="21"/>
              </w:rPr>
              <w:t>2</w:t>
            </w:r>
          </w:p>
        </w:tc>
        <w:tc>
          <w:tcPr>
            <w:tcW w:w="967" w:type="dxa"/>
            <w:vMerge w:val="continue"/>
            <w:vAlign w:val="center"/>
          </w:tcPr>
          <w:p>
            <w:pPr>
              <w:spacing w:line="300" w:lineRule="exact"/>
              <w:jc w:val="center"/>
              <w:rPr>
                <w:sz w:val="21"/>
                <w:szCs w:val="21"/>
              </w:rPr>
            </w:pPr>
          </w:p>
        </w:tc>
        <w:tc>
          <w:tcPr>
            <w:tcW w:w="2542" w:type="dxa"/>
            <w:vAlign w:val="center"/>
          </w:tcPr>
          <w:p>
            <w:pPr>
              <w:spacing w:line="300" w:lineRule="exact"/>
              <w:jc w:val="center"/>
              <w:rPr>
                <w:kern w:val="0"/>
                <w:sz w:val="21"/>
                <w:szCs w:val="21"/>
              </w:rPr>
            </w:pPr>
            <w:r>
              <w:rPr>
                <w:rFonts w:hint="eastAsia"/>
                <w:sz w:val="21"/>
                <w:szCs w:val="21"/>
              </w:rPr>
              <w:t>受污染耕地安全利用率（%）</w:t>
            </w:r>
          </w:p>
        </w:tc>
        <w:tc>
          <w:tcPr>
            <w:tcW w:w="1431" w:type="dxa"/>
            <w:vAlign w:val="center"/>
          </w:tcPr>
          <w:p>
            <w:pPr>
              <w:spacing w:line="300" w:lineRule="exact"/>
              <w:jc w:val="center"/>
              <w:rPr>
                <w:sz w:val="21"/>
                <w:szCs w:val="21"/>
              </w:rPr>
            </w:pPr>
            <w:r>
              <w:rPr>
                <w:sz w:val="21"/>
                <w:szCs w:val="21"/>
              </w:rPr>
              <w:t>95</w:t>
            </w:r>
          </w:p>
        </w:tc>
        <w:tc>
          <w:tcPr>
            <w:tcW w:w="1559" w:type="dxa"/>
            <w:vAlign w:val="center"/>
          </w:tcPr>
          <w:p>
            <w:pPr>
              <w:spacing w:line="300" w:lineRule="exact"/>
              <w:jc w:val="center"/>
              <w:rPr>
                <w:sz w:val="21"/>
                <w:szCs w:val="21"/>
              </w:rPr>
            </w:pPr>
            <w:r>
              <w:rPr>
                <w:rFonts w:hint="eastAsia"/>
                <w:sz w:val="21"/>
                <w:szCs w:val="21"/>
              </w:rPr>
              <w:t>不低于现状值</w:t>
            </w:r>
          </w:p>
        </w:tc>
        <w:tc>
          <w:tcPr>
            <w:tcW w:w="1276" w:type="dxa"/>
            <w:vAlign w:val="center"/>
          </w:tcPr>
          <w:p>
            <w:pPr>
              <w:spacing w:line="300" w:lineRule="exact"/>
              <w:jc w:val="center"/>
              <w:rPr>
                <w:sz w:val="21"/>
                <w:szCs w:val="21"/>
              </w:rPr>
            </w:pPr>
            <w:r>
              <w:rPr>
                <w:sz w:val="21"/>
                <w:szCs w:val="21"/>
              </w:rPr>
              <w:t>完成</w:t>
            </w:r>
          </w:p>
        </w:tc>
      </w:tr>
      <w:tr>
        <w:tblPrEx>
          <w:tblBorders>
            <w:top w:val="single" w:color="343838" w:sz="4" w:space="0"/>
            <w:left w:val="single" w:color="343838" w:sz="4" w:space="0"/>
            <w:bottom w:val="single" w:color="343838" w:sz="4" w:space="0"/>
            <w:right w:val="single" w:color="343838" w:sz="4" w:space="0"/>
            <w:insideH w:val="single" w:color="343838" w:sz="4" w:space="0"/>
            <w:insideV w:val="single" w:color="343838" w:sz="4" w:space="0"/>
          </w:tblBorders>
          <w:tblCellMar>
            <w:top w:w="0" w:type="dxa"/>
            <w:left w:w="0" w:type="dxa"/>
            <w:bottom w:w="0" w:type="dxa"/>
            <w:right w:w="0" w:type="dxa"/>
          </w:tblCellMar>
        </w:tblPrEx>
        <w:trPr>
          <w:jc w:val="center"/>
        </w:trPr>
        <w:tc>
          <w:tcPr>
            <w:tcW w:w="967" w:type="dxa"/>
            <w:vAlign w:val="center"/>
          </w:tcPr>
          <w:p>
            <w:pPr>
              <w:spacing w:line="300" w:lineRule="exact"/>
              <w:jc w:val="center"/>
              <w:rPr>
                <w:sz w:val="21"/>
                <w:szCs w:val="21"/>
              </w:rPr>
            </w:pPr>
            <w:r>
              <w:rPr>
                <w:sz w:val="21"/>
                <w:szCs w:val="21"/>
              </w:rPr>
              <w:t>4</w:t>
            </w:r>
          </w:p>
        </w:tc>
        <w:tc>
          <w:tcPr>
            <w:tcW w:w="967" w:type="dxa"/>
            <w:vMerge w:val="restart"/>
            <w:vAlign w:val="center"/>
          </w:tcPr>
          <w:p>
            <w:pPr>
              <w:spacing w:line="300" w:lineRule="exact"/>
              <w:jc w:val="center"/>
              <w:rPr>
                <w:sz w:val="21"/>
                <w:szCs w:val="21"/>
              </w:rPr>
            </w:pPr>
            <w:r>
              <w:rPr>
                <w:rFonts w:hint="eastAsia"/>
                <w:sz w:val="21"/>
                <w:szCs w:val="21"/>
              </w:rPr>
              <w:t>农业农村污染防治</w:t>
            </w:r>
          </w:p>
        </w:tc>
        <w:tc>
          <w:tcPr>
            <w:tcW w:w="2542" w:type="dxa"/>
            <w:vAlign w:val="center"/>
          </w:tcPr>
          <w:p>
            <w:pPr>
              <w:spacing w:line="300" w:lineRule="exact"/>
              <w:jc w:val="center"/>
              <w:rPr>
                <w:sz w:val="21"/>
                <w:szCs w:val="21"/>
              </w:rPr>
            </w:pPr>
            <w:r>
              <w:rPr>
                <w:rFonts w:hint="eastAsia"/>
                <w:sz w:val="21"/>
                <w:szCs w:val="21"/>
              </w:rPr>
              <w:t>农村生活污水得到有效治理的农户覆盖率（%）</w:t>
            </w:r>
          </w:p>
        </w:tc>
        <w:tc>
          <w:tcPr>
            <w:tcW w:w="1431" w:type="dxa"/>
            <w:vAlign w:val="center"/>
          </w:tcPr>
          <w:p>
            <w:pPr>
              <w:spacing w:line="300" w:lineRule="exact"/>
              <w:jc w:val="center"/>
              <w:rPr>
                <w:sz w:val="21"/>
                <w:szCs w:val="21"/>
              </w:rPr>
            </w:pPr>
            <w:r>
              <w:rPr>
                <w:sz w:val="21"/>
                <w:szCs w:val="21"/>
              </w:rPr>
              <w:t>78.61</w:t>
            </w:r>
          </w:p>
        </w:tc>
        <w:tc>
          <w:tcPr>
            <w:tcW w:w="1559" w:type="dxa"/>
            <w:vAlign w:val="center"/>
          </w:tcPr>
          <w:p>
            <w:pPr>
              <w:spacing w:line="300" w:lineRule="exact"/>
              <w:jc w:val="center"/>
              <w:rPr>
                <w:sz w:val="21"/>
                <w:szCs w:val="21"/>
              </w:rPr>
            </w:pPr>
            <w:r>
              <w:rPr>
                <w:rFonts w:hint="eastAsia"/>
                <w:sz w:val="21"/>
                <w:szCs w:val="21"/>
              </w:rPr>
              <w:t>*</w:t>
            </w:r>
          </w:p>
        </w:tc>
        <w:tc>
          <w:tcPr>
            <w:tcW w:w="1276" w:type="dxa"/>
            <w:vAlign w:val="center"/>
          </w:tcPr>
          <w:p>
            <w:pPr>
              <w:spacing w:line="300" w:lineRule="exact"/>
              <w:jc w:val="center"/>
              <w:rPr>
                <w:sz w:val="21"/>
                <w:szCs w:val="21"/>
              </w:rPr>
            </w:pPr>
            <w:r>
              <w:rPr>
                <w:sz w:val="21"/>
                <w:szCs w:val="21"/>
              </w:rPr>
              <w:t>完成</w:t>
            </w:r>
          </w:p>
        </w:tc>
      </w:tr>
      <w:tr>
        <w:tblPrEx>
          <w:tblBorders>
            <w:top w:val="single" w:color="343838" w:sz="4" w:space="0"/>
            <w:left w:val="single" w:color="343838" w:sz="4" w:space="0"/>
            <w:bottom w:val="single" w:color="343838" w:sz="4" w:space="0"/>
            <w:right w:val="single" w:color="343838" w:sz="4" w:space="0"/>
            <w:insideH w:val="single" w:color="343838" w:sz="4" w:space="0"/>
            <w:insideV w:val="single" w:color="343838" w:sz="4" w:space="0"/>
          </w:tblBorders>
          <w:tblCellMar>
            <w:top w:w="0" w:type="dxa"/>
            <w:left w:w="0" w:type="dxa"/>
            <w:bottom w:w="0" w:type="dxa"/>
            <w:right w:w="0" w:type="dxa"/>
          </w:tblCellMar>
        </w:tblPrEx>
        <w:trPr>
          <w:jc w:val="center"/>
        </w:trPr>
        <w:tc>
          <w:tcPr>
            <w:tcW w:w="967" w:type="dxa"/>
            <w:vAlign w:val="center"/>
          </w:tcPr>
          <w:p>
            <w:pPr>
              <w:spacing w:line="300" w:lineRule="exact"/>
              <w:jc w:val="center"/>
              <w:rPr>
                <w:sz w:val="21"/>
                <w:szCs w:val="21"/>
              </w:rPr>
            </w:pPr>
            <w:r>
              <w:rPr>
                <w:sz w:val="21"/>
                <w:szCs w:val="21"/>
              </w:rPr>
              <w:t>5</w:t>
            </w:r>
          </w:p>
        </w:tc>
        <w:tc>
          <w:tcPr>
            <w:tcW w:w="967" w:type="dxa"/>
            <w:vMerge w:val="continue"/>
            <w:vAlign w:val="center"/>
          </w:tcPr>
          <w:p>
            <w:pPr>
              <w:spacing w:line="300" w:lineRule="exact"/>
              <w:jc w:val="center"/>
              <w:rPr>
                <w:sz w:val="21"/>
                <w:szCs w:val="21"/>
              </w:rPr>
            </w:pPr>
          </w:p>
        </w:tc>
        <w:tc>
          <w:tcPr>
            <w:tcW w:w="2542" w:type="dxa"/>
            <w:vAlign w:val="center"/>
          </w:tcPr>
          <w:p>
            <w:pPr>
              <w:spacing w:line="300" w:lineRule="exact"/>
              <w:jc w:val="center"/>
              <w:rPr>
                <w:sz w:val="21"/>
                <w:szCs w:val="21"/>
              </w:rPr>
            </w:pPr>
            <w:r>
              <w:rPr>
                <w:rFonts w:hint="eastAsia"/>
                <w:sz w:val="21"/>
                <w:szCs w:val="21"/>
              </w:rPr>
              <w:t>畜禽粪污综合利用率（%）</w:t>
            </w:r>
          </w:p>
        </w:tc>
        <w:tc>
          <w:tcPr>
            <w:tcW w:w="1431" w:type="dxa"/>
            <w:vAlign w:val="center"/>
          </w:tcPr>
          <w:p>
            <w:pPr>
              <w:spacing w:line="300" w:lineRule="exact"/>
              <w:jc w:val="center"/>
              <w:rPr>
                <w:sz w:val="21"/>
                <w:szCs w:val="21"/>
              </w:rPr>
            </w:pPr>
            <w:r>
              <w:rPr>
                <w:sz w:val="21"/>
                <w:szCs w:val="21"/>
              </w:rPr>
              <w:t>92.28%</w:t>
            </w:r>
          </w:p>
        </w:tc>
        <w:tc>
          <w:tcPr>
            <w:tcW w:w="1559" w:type="dxa"/>
            <w:vAlign w:val="center"/>
          </w:tcPr>
          <w:p>
            <w:pPr>
              <w:spacing w:line="300" w:lineRule="exact"/>
              <w:jc w:val="center"/>
              <w:rPr>
                <w:sz w:val="21"/>
                <w:szCs w:val="21"/>
              </w:rPr>
            </w:pPr>
            <w:r>
              <w:rPr>
                <w:rFonts w:hint="eastAsia"/>
                <w:sz w:val="21"/>
                <w:szCs w:val="21"/>
              </w:rPr>
              <w:t>*</w:t>
            </w:r>
          </w:p>
        </w:tc>
        <w:tc>
          <w:tcPr>
            <w:tcW w:w="1276" w:type="dxa"/>
            <w:vAlign w:val="center"/>
          </w:tcPr>
          <w:p>
            <w:pPr>
              <w:spacing w:line="300" w:lineRule="exact"/>
              <w:jc w:val="center"/>
              <w:rPr>
                <w:sz w:val="21"/>
                <w:szCs w:val="21"/>
              </w:rPr>
            </w:pPr>
            <w:r>
              <w:rPr>
                <w:sz w:val="21"/>
                <w:szCs w:val="21"/>
              </w:rPr>
              <w:t>完成</w:t>
            </w:r>
          </w:p>
        </w:tc>
      </w:tr>
      <w:tr>
        <w:tblPrEx>
          <w:tblBorders>
            <w:top w:val="single" w:color="343838" w:sz="4" w:space="0"/>
            <w:left w:val="single" w:color="343838" w:sz="4" w:space="0"/>
            <w:bottom w:val="single" w:color="343838" w:sz="4" w:space="0"/>
            <w:right w:val="single" w:color="343838" w:sz="4" w:space="0"/>
            <w:insideH w:val="single" w:color="343838" w:sz="4" w:space="0"/>
            <w:insideV w:val="single" w:color="343838" w:sz="4" w:space="0"/>
          </w:tblBorders>
          <w:tblCellMar>
            <w:top w:w="0" w:type="dxa"/>
            <w:left w:w="0" w:type="dxa"/>
            <w:bottom w:w="0" w:type="dxa"/>
            <w:right w:w="0" w:type="dxa"/>
          </w:tblCellMar>
        </w:tblPrEx>
        <w:trPr>
          <w:jc w:val="center"/>
        </w:trPr>
        <w:tc>
          <w:tcPr>
            <w:tcW w:w="967" w:type="dxa"/>
            <w:vAlign w:val="center"/>
          </w:tcPr>
          <w:p>
            <w:pPr>
              <w:spacing w:line="300" w:lineRule="exact"/>
              <w:jc w:val="center"/>
              <w:rPr>
                <w:sz w:val="21"/>
                <w:szCs w:val="21"/>
              </w:rPr>
            </w:pPr>
            <w:r>
              <w:rPr>
                <w:sz w:val="21"/>
                <w:szCs w:val="21"/>
              </w:rPr>
              <w:t>6</w:t>
            </w:r>
          </w:p>
        </w:tc>
        <w:tc>
          <w:tcPr>
            <w:tcW w:w="967" w:type="dxa"/>
            <w:vMerge w:val="continue"/>
            <w:vAlign w:val="center"/>
          </w:tcPr>
          <w:p>
            <w:pPr>
              <w:spacing w:line="300" w:lineRule="exact"/>
              <w:jc w:val="center"/>
              <w:rPr>
                <w:sz w:val="21"/>
                <w:szCs w:val="21"/>
              </w:rPr>
            </w:pPr>
          </w:p>
        </w:tc>
        <w:tc>
          <w:tcPr>
            <w:tcW w:w="2542" w:type="dxa"/>
            <w:vAlign w:val="center"/>
          </w:tcPr>
          <w:p>
            <w:pPr>
              <w:spacing w:line="300" w:lineRule="exact"/>
              <w:jc w:val="center"/>
              <w:rPr>
                <w:sz w:val="21"/>
                <w:szCs w:val="21"/>
              </w:rPr>
            </w:pPr>
            <w:r>
              <w:rPr>
                <w:sz w:val="21"/>
                <w:szCs w:val="21"/>
              </w:rPr>
              <w:t>农村生活垃圾无害化处理率</w:t>
            </w:r>
            <w:r>
              <w:rPr>
                <w:rFonts w:hint="eastAsia"/>
                <w:sz w:val="21"/>
                <w:szCs w:val="21"/>
              </w:rPr>
              <w:t>（%）</w:t>
            </w:r>
          </w:p>
        </w:tc>
        <w:tc>
          <w:tcPr>
            <w:tcW w:w="1431" w:type="dxa"/>
            <w:vAlign w:val="center"/>
          </w:tcPr>
          <w:p>
            <w:pPr>
              <w:spacing w:line="300" w:lineRule="exact"/>
              <w:jc w:val="center"/>
              <w:rPr>
                <w:sz w:val="21"/>
                <w:szCs w:val="21"/>
              </w:rPr>
            </w:pPr>
            <w:r>
              <w:rPr>
                <w:rFonts w:hint="eastAsia"/>
                <w:sz w:val="21"/>
                <w:szCs w:val="21"/>
              </w:rPr>
              <w:t>1</w:t>
            </w:r>
            <w:r>
              <w:rPr>
                <w:sz w:val="21"/>
                <w:szCs w:val="21"/>
              </w:rPr>
              <w:t>00</w:t>
            </w:r>
            <w:r>
              <w:rPr>
                <w:rFonts w:hint="eastAsia"/>
                <w:sz w:val="21"/>
                <w:szCs w:val="21"/>
              </w:rPr>
              <w:t>%</w:t>
            </w:r>
          </w:p>
        </w:tc>
        <w:tc>
          <w:tcPr>
            <w:tcW w:w="1559" w:type="dxa"/>
            <w:vAlign w:val="center"/>
          </w:tcPr>
          <w:p>
            <w:pPr>
              <w:spacing w:line="300" w:lineRule="exact"/>
              <w:jc w:val="center"/>
              <w:rPr>
                <w:sz w:val="21"/>
                <w:szCs w:val="21"/>
              </w:rPr>
            </w:pPr>
            <w:r>
              <w:rPr>
                <w:rFonts w:hint="eastAsia"/>
                <w:sz w:val="21"/>
                <w:szCs w:val="21"/>
              </w:rPr>
              <w:t>*</w:t>
            </w:r>
          </w:p>
        </w:tc>
        <w:tc>
          <w:tcPr>
            <w:tcW w:w="1276" w:type="dxa"/>
            <w:vAlign w:val="center"/>
          </w:tcPr>
          <w:p>
            <w:pPr>
              <w:spacing w:line="300" w:lineRule="exact"/>
              <w:jc w:val="center"/>
              <w:rPr>
                <w:sz w:val="21"/>
                <w:szCs w:val="21"/>
              </w:rPr>
            </w:pPr>
            <w:r>
              <w:rPr>
                <w:sz w:val="21"/>
                <w:szCs w:val="21"/>
              </w:rPr>
              <w:t>完成</w:t>
            </w:r>
          </w:p>
        </w:tc>
      </w:tr>
    </w:tbl>
    <w:p>
      <w:pPr>
        <w:rPr>
          <w:rFonts w:cs="Times New Roman"/>
        </w:rPr>
      </w:pPr>
    </w:p>
    <w:p>
      <w:pPr>
        <w:pStyle w:val="4"/>
        <w:ind w:firstLine="643"/>
      </w:pPr>
      <w:bookmarkStart w:id="16" w:name="_Toc85018496"/>
      <w:bookmarkStart w:id="17" w:name="_Toc84695455"/>
      <w:bookmarkStart w:id="18" w:name="_Toc84695680"/>
      <w:bookmarkStart w:id="19" w:name="_Toc84695728"/>
      <w:r>
        <w:rPr>
          <w:rFonts w:hint="eastAsia"/>
        </w:rPr>
        <w:t>1</w:t>
      </w:r>
      <w:r>
        <w:t>.</w:t>
      </w:r>
      <w:r>
        <w:rPr>
          <w:rFonts w:hint="eastAsia"/>
        </w:rPr>
        <w:t>土壤环境风险得到有效管控</w:t>
      </w:r>
      <w:bookmarkEnd w:id="16"/>
      <w:bookmarkEnd w:id="17"/>
      <w:bookmarkEnd w:id="18"/>
      <w:bookmarkEnd w:id="19"/>
    </w:p>
    <w:p>
      <w:pPr>
        <w:ind w:firstLine="643" w:firstLineChars="200"/>
        <w:rPr>
          <w:rFonts w:cs="Times New Roman"/>
          <w:szCs w:val="32"/>
        </w:rPr>
      </w:pPr>
      <w:r>
        <w:rPr>
          <w:rFonts w:hint="eastAsia"/>
          <w:b/>
        </w:rPr>
        <w:t>土壤污染防治基础进一步夯实</w:t>
      </w:r>
      <w:r>
        <w:rPr>
          <w:rFonts w:hint="eastAsia"/>
        </w:rPr>
        <w:t>。编制实施《关于印发江津区贯彻落实土壤污染防治行动计划工作方案的通知》（江津府发〔2017〕20号）</w:t>
      </w:r>
      <w:r>
        <w:rPr>
          <w:rFonts w:hint="eastAsia" w:cs="Times New Roman"/>
          <w:szCs w:val="32"/>
          <w:shd w:val="clear" w:color="auto" w:fill="FFFFFF"/>
        </w:rPr>
        <w:t>，完成全区土壤污染治理与修复规划编制，</w:t>
      </w:r>
      <w:r>
        <w:rPr>
          <w:rFonts w:cs="Times New Roman"/>
          <w:szCs w:val="32"/>
        </w:rPr>
        <w:t>扎实推进土壤污染状况详查，</w:t>
      </w:r>
      <w:r>
        <w:rPr>
          <w:rFonts w:hint="eastAsia" w:cs="Times New Roman"/>
          <w:szCs w:val="32"/>
        </w:rPr>
        <w:t>根据全区土壤环境质量空间状况，基本实现了“一张图”管理</w:t>
      </w:r>
      <w:r>
        <w:rPr>
          <w:rFonts w:hint="eastAsia" w:cs="Times New Roman"/>
          <w:szCs w:val="32"/>
          <w:shd w:val="clear" w:color="auto" w:fill="FFFFFF"/>
        </w:rPr>
        <w:t>。</w:t>
      </w:r>
      <w:r>
        <w:rPr>
          <w:rFonts w:cs="Times New Roman"/>
          <w:szCs w:val="32"/>
        </w:rPr>
        <w:t>开展</w:t>
      </w:r>
      <w:r>
        <w:rPr>
          <w:rFonts w:hint="eastAsia" w:cs="Times New Roman"/>
          <w:szCs w:val="32"/>
        </w:rPr>
        <w:t>了</w:t>
      </w:r>
      <w:r>
        <w:rPr>
          <w:rFonts w:cs="Times New Roman"/>
          <w:szCs w:val="32"/>
        </w:rPr>
        <w:t>农用地土壤污染状况详查，</w:t>
      </w:r>
      <w:r>
        <w:rPr>
          <w:rFonts w:hint="eastAsia"/>
        </w:rPr>
        <w:t>采土壤样113个，农产品样105个。</w:t>
      </w:r>
      <w:r>
        <w:rPr>
          <w:rFonts w:cs="Times New Roman"/>
          <w:szCs w:val="32"/>
        </w:rPr>
        <w:t>完成农产品产地土壤重金属污染普查，基本摸清全区农产品产地土壤重金属污染</w:t>
      </w:r>
      <w:r>
        <w:rPr>
          <w:rFonts w:hint="eastAsia" w:cs="Times New Roman"/>
          <w:szCs w:val="32"/>
        </w:rPr>
        <w:t>状况</w:t>
      </w:r>
      <w:r>
        <w:rPr>
          <w:rFonts w:cs="Times New Roman"/>
          <w:szCs w:val="32"/>
        </w:rPr>
        <w:t>。</w:t>
      </w:r>
      <w:r>
        <w:rPr>
          <w:rFonts w:hint="eastAsia" w:cs="Times New Roman"/>
          <w:szCs w:val="32"/>
        </w:rPr>
        <w:t>严格控制涉重金属重点行业新增重点重金属排放量，完成了73家重点行业企业用地调查，</w:t>
      </w:r>
      <w:r>
        <w:rPr>
          <w:rFonts w:hint="eastAsia"/>
        </w:rPr>
        <w:t>全面建立涉重金属重点行业企业全口径排查清单，完成重庆市江津电力线路构件厂等8家单位和4个区域的涉镉等重金属重点行业污染源排查。</w:t>
      </w:r>
    </w:p>
    <w:p>
      <w:pPr>
        <w:ind w:firstLine="643" w:firstLineChars="200"/>
      </w:pPr>
      <w:r>
        <w:rPr>
          <w:rFonts w:hint="eastAsia"/>
          <w:b/>
        </w:rPr>
        <w:t>推进农用地土壤环境保护与安全利用</w:t>
      </w:r>
      <w:r>
        <w:rPr>
          <w:rFonts w:hint="eastAsia"/>
        </w:rPr>
        <w:t>。</w:t>
      </w:r>
      <w:r>
        <w:rPr>
          <w:rFonts w:hint="eastAsia" w:cs="Times New Roman"/>
          <w:szCs w:val="32"/>
        </w:rPr>
        <w:t>区农业农村委联合区生态环境局印发了《江津区耕地土壤环境类别划分》</w:t>
      </w:r>
      <w:r>
        <w:rPr>
          <w:rFonts w:hint="eastAsia"/>
        </w:rPr>
        <w:t>（津农业农村委发〔2019〕61号）</w:t>
      </w:r>
      <w:r>
        <w:rPr>
          <w:rFonts w:hint="eastAsia" w:cs="Times New Roman"/>
          <w:szCs w:val="32"/>
        </w:rPr>
        <w:t>等工作方案，完成全区耕地土壤环境质量类别划分，编制形成了《江津区耕地土壤环境质量类别划分分类管理方案》、《江津区耕地土壤环境质量类别划分技术方案》，进一步掌握了全区耕地优先保护类、安全利用类、严格管控类的空间分布状况。</w:t>
      </w:r>
      <w:r>
        <w:rPr>
          <w:rFonts w:hint="eastAsia"/>
        </w:rPr>
        <w:t>稳步开展土壤污染治理与修复，认真组织实施土壤重金属污染修复技术应用试点，对400亩不同污染程度的土壤实施分类治理。强化农用地安全利用，推广种植低吸附水稻种子，实施推广测土配方施肥、腐殖酸有机肥、水分调控等安全利用措施，带动全区的农用地安全利用持续推进。截至2020年，江津区开展农用地安全利用6.1012万亩，在安全利用区域建立示范片2万亩，全区受污染耕地安全利用率达到95%。</w:t>
      </w:r>
    </w:p>
    <w:p>
      <w:pPr>
        <w:ind w:firstLine="643" w:firstLineChars="200"/>
      </w:pPr>
      <w:r>
        <w:rPr>
          <w:rFonts w:hint="eastAsia"/>
          <w:b/>
        </w:rPr>
        <w:t>严控建设用地开发利用环境风险</w:t>
      </w:r>
      <w:r>
        <w:rPr>
          <w:rFonts w:hint="eastAsia"/>
        </w:rPr>
        <w:t>。严格落实《污染地块土壤环境管理办法（试行）》等法律法规，将相关地块报告上传至全国污染地块土壤环境管理信息系统。经</w:t>
      </w:r>
      <w:r>
        <w:t>排</w:t>
      </w:r>
      <w:r>
        <w:rPr>
          <w:rFonts w:hint="eastAsia"/>
        </w:rPr>
        <w:t>查，全区疑似污染地块和污染地块共有重庆市江津区长风机械厂（A、B、C地块和东关路）、重庆江电电力设备有限公司原址等5块</w:t>
      </w:r>
      <w:r>
        <w:t>。</w:t>
      </w:r>
      <w:r>
        <w:rPr>
          <w:rFonts w:cs="Times New Roman"/>
          <w:szCs w:val="32"/>
        </w:rPr>
        <w:t>配合市生态环境局发布了《重庆市建设用地土壤污染风险管控和修复名录》，并发布</w:t>
      </w:r>
      <w:r>
        <w:rPr>
          <w:rFonts w:hint="eastAsia" w:cs="Times New Roman"/>
          <w:szCs w:val="32"/>
        </w:rPr>
        <w:t>《江津区土壤污染重点监管单位名录》</w:t>
      </w:r>
      <w:r>
        <w:rPr>
          <w:rFonts w:cs="Times New Roman"/>
          <w:szCs w:val="32"/>
        </w:rPr>
        <w:t>，</w:t>
      </w:r>
      <w:r>
        <w:rPr>
          <w:rFonts w:hint="eastAsia" w:cs="Times New Roman"/>
          <w:szCs w:val="32"/>
        </w:rPr>
        <w:t>建立污染地块名录并上传国家系统</w:t>
      </w:r>
      <w:r>
        <w:rPr>
          <w:rFonts w:cs="Times New Roman"/>
          <w:szCs w:val="32"/>
        </w:rPr>
        <w:t>，按要求引导江津区20家重点企业开展自行监测。</w:t>
      </w:r>
      <w:r>
        <w:rPr>
          <w:rFonts w:hint="eastAsia" w:cs="Times New Roman"/>
          <w:szCs w:val="32"/>
        </w:rPr>
        <w:t>严格</w:t>
      </w:r>
      <w:r>
        <w:rPr>
          <w:rFonts w:hint="eastAsia"/>
        </w:rPr>
        <w:t>落实重庆市生态环境局、重庆市规划和自然资源局联合发布的《建设用地土壤污染风险管控和修复名录》（渝环〔2020〕60号），</w:t>
      </w:r>
      <w:r>
        <w:rPr>
          <w:rFonts w:hint="eastAsia"/>
          <w:color w:val="000000"/>
          <w:kern w:val="0"/>
        </w:rPr>
        <w:t>严格监管</w:t>
      </w:r>
      <w:r>
        <w:rPr>
          <w:rFonts w:hint="eastAsia"/>
        </w:rPr>
        <w:t>全区</w:t>
      </w:r>
      <w:r>
        <w:rPr>
          <w:rFonts w:hint="eastAsia" w:cs="方正仿宋_GBK"/>
        </w:rPr>
        <w:t>列入《名录》的</w:t>
      </w:r>
      <w:r>
        <w:rPr>
          <w:rFonts w:hint="eastAsia"/>
          <w:color w:val="000000"/>
          <w:kern w:val="0"/>
        </w:rPr>
        <w:t>重庆三五三三印染服装总厂有限公司原址地块、重庆市鹏程钢铁有限公司</w:t>
      </w:r>
      <w:r>
        <w:rPr>
          <w:rFonts w:hint="eastAsia" w:cs="方正仿宋_GBK"/>
        </w:rPr>
        <w:t>2块地块</w:t>
      </w:r>
      <w:r>
        <w:rPr>
          <w:rFonts w:hint="eastAsia"/>
        </w:rPr>
        <w:t>。截止2</w:t>
      </w:r>
      <w:r>
        <w:t>020</w:t>
      </w:r>
      <w:r>
        <w:rPr>
          <w:rFonts w:hint="eastAsia"/>
        </w:rPr>
        <w:t>年，</w:t>
      </w:r>
      <w:r>
        <w:t>全区</w:t>
      </w:r>
      <w:r>
        <w:rPr>
          <w:rFonts w:hint="eastAsia"/>
        </w:rPr>
        <w:t>污染地块安全利用率已达95%以上。</w:t>
      </w:r>
    </w:p>
    <w:p>
      <w:pPr>
        <w:ind w:firstLine="643" w:firstLineChars="200"/>
      </w:pPr>
      <w:r>
        <w:rPr>
          <w:rFonts w:hint="eastAsia"/>
          <w:b/>
        </w:rPr>
        <w:t>土壤污染源头防治不断深入</w:t>
      </w:r>
      <w:r>
        <w:rPr>
          <w:rFonts w:hint="eastAsia"/>
        </w:rPr>
        <w:t>。加强对涉重金属行业污染防控，督促指导涉重金属重点行业企业落实减排措施。在全面排查基础上，建立涉重金属重点行业企业清单，实行动态管理。实行区域差别化的环境准入政策，严格涉重金属行业企业建设项目环境准入。建立并完善了固体废物管理体系，严格固体（危险）废物环境监管，开展工业固体废物堆存场所排查和环境整治，完成工业固体废物堆存场所排查。开展“清废行动”，加强化学品环境风险评估和高风险化学物质环境风险管控，全面禁止洋垃圾进口。以医疗废物、废酸、废铅蓄电池、废矿物油等危险废物为重点，持续开展打击固体废物环境违法犯罪行为，有效管控固体废物和重金属环境风险。</w:t>
      </w:r>
    </w:p>
    <w:p>
      <w:pPr>
        <w:pStyle w:val="4"/>
        <w:ind w:firstLine="643"/>
      </w:pPr>
      <w:bookmarkStart w:id="20" w:name="_Toc84695730"/>
      <w:bookmarkStart w:id="21" w:name="_Toc84695682"/>
      <w:bookmarkStart w:id="22" w:name="_Toc84695457"/>
      <w:bookmarkStart w:id="23" w:name="_Toc85018497"/>
      <w:r>
        <w:t>2.</w:t>
      </w:r>
      <w:r>
        <w:rPr>
          <w:rFonts w:hint="eastAsia"/>
        </w:rPr>
        <w:t>农业农村生态环境保护取得积极进展</w:t>
      </w:r>
      <w:bookmarkEnd w:id="20"/>
      <w:bookmarkEnd w:id="21"/>
      <w:bookmarkEnd w:id="22"/>
      <w:bookmarkEnd w:id="23"/>
    </w:p>
    <w:p>
      <w:pPr>
        <w:ind w:firstLine="643" w:firstLineChars="200"/>
        <w:rPr>
          <w:szCs w:val="32"/>
        </w:rPr>
      </w:pPr>
      <w:r>
        <w:rPr>
          <w:rFonts w:hint="eastAsia"/>
          <w:b/>
        </w:rPr>
        <w:t>农村饮水安全得到持续巩固和提升</w:t>
      </w:r>
      <w:r>
        <w:rPr>
          <w:rFonts w:hint="eastAsia"/>
        </w:rPr>
        <w:t>。全区共划定5</w:t>
      </w:r>
      <w:r>
        <w:t>4</w:t>
      </w:r>
      <w:r>
        <w:rPr>
          <w:rFonts w:hint="eastAsia"/>
        </w:rPr>
        <w:t>个</w:t>
      </w:r>
      <w:r>
        <w:rPr>
          <w:rFonts w:hint="eastAsia" w:cs="Times New Roman"/>
          <w:spacing w:val="-12"/>
          <w:kern w:val="32"/>
          <w:szCs w:val="32"/>
        </w:rPr>
        <w:t>农村集中式饮用水水源地，其中河流型水源地24个，水库型水源地29个，地下水型水源地1个，涉及19个镇街，均</w:t>
      </w:r>
      <w:r>
        <w:rPr>
          <w:rFonts w:hint="eastAsia"/>
          <w:szCs w:val="32"/>
        </w:rPr>
        <w:t>已完成勘界及保护区矢量图绘制。已完成金沙江油溪镇三圣社区水库型水源地、德感街道长冲社区地下水型水源地等2</w:t>
      </w:r>
      <w:r>
        <w:rPr>
          <w:szCs w:val="32"/>
        </w:rPr>
        <w:t>3</w:t>
      </w:r>
      <w:r>
        <w:rPr>
          <w:rFonts w:hint="eastAsia"/>
          <w:szCs w:val="32"/>
        </w:rPr>
        <w:t>个分散式饮用水水源地保护区划分。“十三五”以来，农村饮水安全工程巩固提升，以改扩建已成供水工程、以大并小、镇级水厂扩网农村、改造净水配套设施等为重点，着重提升水质，提高供水保证率，实施巩固提升工程93个，巩固提升饮水安全人口72万人，其中农村受益人口超过1.8万人。截止2020年，农村集中供水率为90.54%，农村自来水普及率为90.14%，农村供水入户率为100%，供水保障率达到95%以上，春旱、伏旱、冬旱等季节性应急缺水问题基本得到解决。基本解决了农村居民从有水吃到吃好水、吃方便水的问题，全区农村供水总体有保障。</w:t>
      </w:r>
    </w:p>
    <w:p>
      <w:pPr>
        <w:ind w:firstLine="643" w:firstLineChars="200"/>
        <w:rPr>
          <w:rFonts w:cs="Times New Roman"/>
          <w:szCs w:val="32"/>
        </w:rPr>
      </w:pPr>
      <w:r>
        <w:rPr>
          <w:rFonts w:hint="eastAsia"/>
          <w:b/>
        </w:rPr>
        <w:t>加强农业种植面源污染防治</w:t>
      </w:r>
      <w:r>
        <w:rPr>
          <w:rFonts w:hint="eastAsia"/>
        </w:rPr>
        <w:t>。</w:t>
      </w:r>
      <w:r>
        <w:rPr>
          <w:rFonts w:cs="Times New Roman"/>
          <w:szCs w:val="32"/>
        </w:rPr>
        <w:t>实行测土配方施肥</w:t>
      </w:r>
      <w:r>
        <w:rPr>
          <w:rFonts w:hint="eastAsia" w:cs="Times New Roman"/>
          <w:szCs w:val="32"/>
        </w:rPr>
        <w:t>技术，</w:t>
      </w:r>
      <w:r>
        <w:rPr>
          <w:rFonts w:hint="eastAsia"/>
        </w:rPr>
        <w:t>全面开展</w:t>
      </w:r>
      <w:r>
        <w:rPr>
          <w:rFonts w:cs="Times New Roman"/>
          <w:szCs w:val="32"/>
        </w:rPr>
        <w:t>测土配方施肥补充采样工作，</w:t>
      </w:r>
      <w:r>
        <w:rPr>
          <w:rFonts w:hint="eastAsia" w:cs="Times New Roman"/>
          <w:szCs w:val="32"/>
        </w:rPr>
        <w:t>全区测土配方施肥技术覆盖率达到96.1%以上。积极推广化肥减量技术，全区化肥利用率</w:t>
      </w:r>
      <w:r>
        <w:rPr>
          <w:rFonts w:cs="Times New Roman"/>
          <w:szCs w:val="32"/>
        </w:rPr>
        <w:t>提高到</w:t>
      </w:r>
      <w:r>
        <w:rPr>
          <w:rFonts w:hint="eastAsia" w:cs="Times New Roman"/>
          <w:szCs w:val="32"/>
        </w:rPr>
        <w:t>40.2</w:t>
      </w:r>
      <w:r>
        <w:rPr>
          <w:rFonts w:cs="Times New Roman"/>
          <w:szCs w:val="32"/>
        </w:rPr>
        <w:t>%，农药利用率</w:t>
      </w:r>
      <w:r>
        <w:rPr>
          <w:rFonts w:hint="eastAsia" w:cs="Times New Roman"/>
          <w:szCs w:val="32"/>
        </w:rPr>
        <w:t>40</w:t>
      </w:r>
      <w:r>
        <w:rPr>
          <w:rFonts w:cs="Times New Roman"/>
          <w:szCs w:val="32"/>
        </w:rPr>
        <w:t>%</w:t>
      </w:r>
      <w:r>
        <w:rPr>
          <w:rFonts w:hint="eastAsia" w:cs="Times New Roman"/>
          <w:szCs w:val="32"/>
        </w:rPr>
        <w:t>，全区主要农作物专业化统防统治覆盖率提高到40.36%，绿色防控覆盖率提高40.45%。建立农膜及农药包装回收体系，引进和推广生物降解农膜，加大农膜集约使用和替代技术推广，大力推广粮经作物集中育秧育苗、水稻无纺布育秧、水稻玉米新型直播、玉米半膜覆盖、果园生草、秸秆或无纺布覆盖栽培等技术，农膜处理率达到90%。</w:t>
      </w:r>
    </w:p>
    <w:p>
      <w:pPr>
        <w:ind w:firstLine="643" w:firstLineChars="200"/>
      </w:pPr>
      <w:r>
        <w:rPr>
          <w:rFonts w:hint="eastAsia"/>
          <w:b/>
        </w:rPr>
        <w:t>加强规模化畜禽养殖业污染防治</w:t>
      </w:r>
      <w:r>
        <w:rPr>
          <w:rFonts w:hint="eastAsia"/>
        </w:rPr>
        <w:t>。不断引导优化畜牧业区域布局，编制完成《重庆市江津区畜禽养殖禁养区划定方案（调整）》，合理划定完成全区畜禽养殖禁养区、限养区、适养区的“三区划分”工作，细化到村社名称、边界地理坐标位置、区域面积。完成禁养区养殖场关闭或搬迁任务。开展规模养殖场粪污处理设施配套，截至2020年，全区规模养殖场配套任务334家，其中大型规模养殖场配套任务82家，粪污处理设施装备配套率均达100%，粪污处理设施装备配套率为100%。积极开展养殖巡查工作，将规模以上畜禽养殖场纳入重点污染源管理。对发现问题的养殖场要求整改，对重庆芸积农业开发有限公司、江津区吴滩镇二百生猪养殖场依法实施处罚。全区畜禽养殖污染得到有效治理，农村环境得到有效改善。</w:t>
      </w:r>
    </w:p>
    <w:p>
      <w:pPr>
        <w:ind w:firstLine="643" w:firstLineChars="200"/>
      </w:pPr>
      <w:r>
        <w:rPr>
          <w:rFonts w:hint="eastAsia"/>
          <w:b/>
        </w:rPr>
        <w:t>加强水产养殖污染防治</w:t>
      </w:r>
      <w:r>
        <w:rPr>
          <w:rFonts w:hint="eastAsia"/>
        </w:rPr>
        <w:t>。优化水产养殖空间布局，严格执行了水产养殖三区划定规定。推广生态健康养殖，宣传推广“一投三不投”的生态增殖模式，养殖区内推广水产健康养殖，成功创建国家级水产健康养殖示范场3家150亩。开展水产养殖用药减量行动，建成配合饲料替代冰鲜幼杂鱼示范基地1个，依托市级水产原良种场江洲渔业公司、国家级水产健康养殖示范场，推广异育银鲫“中科5号”、长丰鲢等国审水产品新品种500多万尾。开展水产养殖尾水直排问题专项整治行动，印发实施</w:t>
      </w:r>
      <w:r>
        <w:rPr>
          <w:rFonts w:cs="Times New Roman"/>
          <w:szCs w:val="32"/>
        </w:rPr>
        <w:t>《江津区中央环保督察水产养殖尾水直排问题整改工作实施方案》</w:t>
      </w:r>
      <w:r>
        <w:rPr>
          <w:rFonts w:hint="eastAsia" w:cs="Times New Roman"/>
          <w:szCs w:val="32"/>
        </w:rPr>
        <w:t>（</w:t>
      </w:r>
      <w:r>
        <w:rPr>
          <w:rFonts w:cs="Times New Roman"/>
          <w:szCs w:val="32"/>
        </w:rPr>
        <w:t>农村委函〔2020〕268号</w:t>
      </w:r>
      <w:r>
        <w:rPr>
          <w:rFonts w:hint="eastAsia" w:cs="Times New Roman"/>
          <w:szCs w:val="32"/>
        </w:rPr>
        <w:t>），</w:t>
      </w:r>
      <w:r>
        <w:rPr>
          <w:rFonts w:hint="eastAsia"/>
        </w:rPr>
        <w:t>建成水产养殖尾水治理示范基地5个250亩，实现达标排放，其中沉淀过滤池示范基地3家，鱼菜共生示范基地2家。对3家单位300余亩池塘配套建设养殖尾水处理设施3套，在2000亩池塘投放360个鱼菜共生栽培箱。</w:t>
      </w:r>
    </w:p>
    <w:p>
      <w:pPr>
        <w:ind w:firstLine="643" w:firstLineChars="200"/>
      </w:pPr>
      <w:r>
        <w:rPr>
          <w:rFonts w:hint="eastAsia"/>
          <w:b/>
        </w:rPr>
        <w:t>加快实施农村人居环境综合整治</w:t>
      </w:r>
      <w:r>
        <w:rPr>
          <w:rFonts w:hint="eastAsia"/>
        </w:rPr>
        <w:t>。印发实施《重庆市江津区落实乡村振兴战略规划（2018—2022年）》、《江津区农业农村污染治理攻坚战行动计划实施方案》、《重庆市江津区农村人居环境整治三年行动自评报告》等文件，扎实开展农村人居环境整治行动，将全区233个行政村（涉农社区）根据各自基础条件分类分档划分进行整治，其中一档50个，二档179个，三档4个，取得了较好整治效果。积极开展生态文明示范村镇建设，截至2020年，全区成功创建市级生态文明示范镇24个，市级生态文明示范村（社）7个。深入开展农村生活垃圾治理，采取政府购买服务模式，</w:t>
      </w:r>
      <w:r>
        <w:rPr>
          <w:rFonts w:cs="Times New Roman"/>
          <w:szCs w:val="32"/>
        </w:rPr>
        <w:t>完善垃圾箱体、垃圾桶、垃圾运输车等设施设备，全区农村生活垃圾收运体系已全面建立，常态化运行，生活垃圾有效治理行政村比例达到100%</w:t>
      </w:r>
      <w:r>
        <w:rPr>
          <w:rFonts w:hint="eastAsia" w:cs="Times New Roman"/>
          <w:szCs w:val="32"/>
        </w:rPr>
        <w:t>，</w:t>
      </w:r>
      <w:r>
        <w:rPr>
          <w:rFonts w:hint="eastAsia"/>
        </w:rPr>
        <w:t>截至2020年，已累计建成农村垃圾分类示范村40个，其中申报的3个分类示范村接受市级挂牌评定，完成对全国排查整治信息系统在册备案的10个农村生活垃圾非正规垃圾堆放点的整改销号工作，整治完成率100%。印发实施《江津区农村生活污水治理专项规划（2021－2030）》（江津府办发〔2020〕158号），不断完善农村污水处理工程，累计技改、扩容乡镇生活污水处理设施36座（含农村集中式污水处理设施），完成乡镇管网建设209.86km。截止2020年，实现全区25个建制镇污水处理厂全覆盖，农村常住人口1000人以上的聚居点集中式污水处理设施全覆盖，全区农村生活污水得到治理的农户覆盖率达82.9%。大力开展以改造卫生厕所为主的农村“厕所革命”，规划期间累计完成卫生厕所改造74561户，截止2</w:t>
      </w:r>
      <w:r>
        <w:t>020</w:t>
      </w:r>
      <w:r>
        <w:rPr>
          <w:rFonts w:hint="eastAsia"/>
        </w:rPr>
        <w:t>年，卫生厕所普及率提高到85.64%，有效改善了农村人居环境，提升了农村居民幸福感。</w:t>
      </w:r>
    </w:p>
    <w:p>
      <w:pPr>
        <w:pStyle w:val="4"/>
        <w:ind w:firstLine="643"/>
      </w:pPr>
      <w:bookmarkStart w:id="24" w:name="_Toc84695456"/>
      <w:bookmarkStart w:id="25" w:name="_Toc84695681"/>
      <w:bookmarkStart w:id="26" w:name="_Toc84695729"/>
      <w:bookmarkStart w:id="27" w:name="_Toc85018498"/>
      <w:bookmarkStart w:id="28" w:name="_Toc73027384"/>
      <w:bookmarkStart w:id="29" w:name="_Toc84695812"/>
      <w:bookmarkStart w:id="30" w:name="_Toc84695458"/>
      <w:bookmarkStart w:id="31" w:name="_Toc84695731"/>
      <w:bookmarkStart w:id="32" w:name="_Toc84695683"/>
      <w:bookmarkStart w:id="33" w:name="_Toc55906089"/>
      <w:r>
        <w:t>3.</w:t>
      </w:r>
      <w:r>
        <w:rPr>
          <w:rFonts w:hint="eastAsia"/>
        </w:rPr>
        <w:t>地下水污染防治逐步推开</w:t>
      </w:r>
      <w:bookmarkEnd w:id="24"/>
      <w:bookmarkEnd w:id="25"/>
      <w:bookmarkEnd w:id="26"/>
      <w:bookmarkEnd w:id="27"/>
    </w:p>
    <w:p>
      <w:pPr>
        <w:ind w:firstLine="643" w:firstLineChars="200"/>
      </w:pPr>
      <w:r>
        <w:rPr>
          <w:rFonts w:hint="eastAsia" w:eastAsia="仿宋"/>
          <w:b/>
          <w:color w:val="000000"/>
          <w:szCs w:val="32"/>
        </w:rPr>
        <w:t>着力开展地下水环境污染调查</w:t>
      </w:r>
      <w:r>
        <w:rPr>
          <w:rFonts w:hint="eastAsia" w:eastAsia="仿宋"/>
          <w:color w:val="000000"/>
          <w:szCs w:val="32"/>
        </w:rPr>
        <w:t>。</w:t>
      </w:r>
      <w:r>
        <w:rPr>
          <w:rFonts w:eastAsia="仿宋"/>
          <w:color w:val="000000"/>
          <w:szCs w:val="32"/>
        </w:rPr>
        <w:t>贯彻落实《全国地下水污染防治规划（2011-2020年）》</w:t>
      </w:r>
      <w:r>
        <w:rPr>
          <w:rFonts w:hint="eastAsia" w:eastAsia="仿宋"/>
          <w:color w:val="000000"/>
          <w:szCs w:val="32"/>
        </w:rPr>
        <w:t>，</w:t>
      </w:r>
      <w:r>
        <w:rPr>
          <w:rFonts w:hint="eastAsia"/>
        </w:rPr>
        <w:t>逐步开展地下水基础环境状况调查，完成信息收集上报，持续开展“双源”地下水试点监测工作。加强地热水矿业权管理，严格控制开采深层承压水，地热水、矿泉水开发严格实行取水许可和采矿许可，科学划定地下水禁采区、限采区和地面沉降控制区。强化地质灾害危险性评估管理，加强地面沉降、地裂缝、岩溶塌陷等地质灾害易发区开采利用地下水和因工程建设（如隧道、涵洞）可能造成地下水流失、地面塌陷的工程项目，均严格按规定开展地质灾害危险性评估，并督促有关责任单位采取工程措施，避免或减少地下水流失，防治发生地面塌陷等。对于报废的矿井、钻井和取水井，积极督促矿山企业和有关单位及时实施封井回填，避免地下水污染。加强加油站防渗处理，完成54家加油站防渗防泄漏设施改造。全区包括江津区石门镇沙坝厂地下水秦家水厂水源地、江津区德感街道地下水长冲水厂水源地2个地下水型水源地，达标率1</w:t>
      </w:r>
      <w:r>
        <w:t>00</w:t>
      </w:r>
      <w:r>
        <w:rPr>
          <w:rFonts w:hint="eastAsia"/>
        </w:rPr>
        <w:t>%。全区地下水环境质量总体稳定。</w:t>
      </w:r>
    </w:p>
    <w:p>
      <w:pPr>
        <w:pStyle w:val="3"/>
        <w:ind w:firstLine="640"/>
        <w:rPr>
          <w:lang w:val="zh-CN"/>
        </w:rPr>
      </w:pPr>
      <w:bookmarkStart w:id="34" w:name="_Toc85018499"/>
      <w:r>
        <w:rPr>
          <w:rFonts w:hint="eastAsia"/>
          <w:lang w:val="zh-CN"/>
        </w:rPr>
        <w:t>（二）存在的主要问题</w:t>
      </w:r>
      <w:bookmarkEnd w:id="28"/>
      <w:bookmarkEnd w:id="29"/>
      <w:bookmarkEnd w:id="30"/>
      <w:bookmarkEnd w:id="31"/>
      <w:bookmarkEnd w:id="32"/>
      <w:bookmarkEnd w:id="33"/>
      <w:bookmarkEnd w:id="34"/>
    </w:p>
    <w:p>
      <w:pPr>
        <w:pStyle w:val="4"/>
        <w:ind w:firstLine="643"/>
        <w:rPr>
          <w:lang w:val="zh-CN"/>
        </w:rPr>
      </w:pPr>
      <w:bookmarkStart w:id="35" w:name="_Toc84695684"/>
      <w:bookmarkStart w:id="36" w:name="_Toc84695732"/>
      <w:bookmarkStart w:id="37" w:name="_Toc85018500"/>
      <w:bookmarkStart w:id="38" w:name="_Toc84695459"/>
      <w:r>
        <w:rPr>
          <w:rFonts w:hint="eastAsia"/>
          <w:lang w:val="zh-CN"/>
        </w:rPr>
        <w:t>1</w:t>
      </w:r>
      <w:r>
        <w:rPr>
          <w:lang w:val="zh-CN"/>
        </w:rPr>
        <w:t>.</w:t>
      </w:r>
      <w:r>
        <w:rPr>
          <w:rFonts w:hint="eastAsia"/>
          <w:lang w:val="zh-CN"/>
        </w:rPr>
        <w:t>土壤污染防治需进一步强化</w:t>
      </w:r>
      <w:bookmarkEnd w:id="35"/>
      <w:bookmarkEnd w:id="36"/>
      <w:bookmarkEnd w:id="37"/>
      <w:bookmarkEnd w:id="38"/>
    </w:p>
    <w:p>
      <w:pPr>
        <w:ind w:firstLine="643" w:firstLineChars="200"/>
        <w:rPr>
          <w:lang w:val="zh-CN"/>
        </w:rPr>
      </w:pPr>
      <w:r>
        <w:rPr>
          <w:rFonts w:hint="eastAsia"/>
          <w:b/>
          <w:lang w:val="zh-CN"/>
        </w:rPr>
        <w:t>土壤污染重点监管单位源头预防还不到位</w:t>
      </w:r>
      <w:r>
        <w:rPr>
          <w:rFonts w:hint="eastAsia"/>
          <w:lang w:val="zh-CN"/>
        </w:rPr>
        <w:t>。全区已建立疑似污染地块名单1</w:t>
      </w:r>
      <w:r>
        <w:rPr>
          <w:lang w:val="zh-CN"/>
        </w:rPr>
        <w:t>3</w:t>
      </w:r>
      <w:r>
        <w:rPr>
          <w:rFonts w:hint="eastAsia"/>
          <w:lang w:val="zh-CN"/>
        </w:rPr>
        <w:t>块，已完成1</w:t>
      </w:r>
      <w:r>
        <w:rPr>
          <w:lang w:val="zh-CN"/>
        </w:rPr>
        <w:t>1</w:t>
      </w:r>
      <w:r>
        <w:rPr>
          <w:rFonts w:hint="eastAsia"/>
          <w:szCs w:val="32"/>
        </w:rPr>
        <w:t>疑似污染地块</w:t>
      </w:r>
      <w:r>
        <w:rPr>
          <w:szCs w:val="32"/>
        </w:rPr>
        <w:t>的环境风险调查评估工作</w:t>
      </w:r>
      <w:r>
        <w:rPr>
          <w:rFonts w:hint="eastAsia"/>
          <w:szCs w:val="32"/>
        </w:rPr>
        <w:t>，另外</w:t>
      </w:r>
      <w:r>
        <w:rPr>
          <w:szCs w:val="32"/>
        </w:rPr>
        <w:t>2</w:t>
      </w:r>
      <w:r>
        <w:rPr>
          <w:rFonts w:hint="eastAsia"/>
          <w:szCs w:val="32"/>
        </w:rPr>
        <w:t>地块</w:t>
      </w:r>
      <w:r>
        <w:rPr>
          <w:rFonts w:hint="eastAsia" w:ascii="方正仿宋_GBK" w:cs="宋体"/>
          <w:kern w:val="0"/>
          <w:szCs w:val="32"/>
        </w:rPr>
        <w:t>在产企业存在已纳入</w:t>
      </w:r>
      <w:r>
        <w:rPr>
          <w:rFonts w:hint="eastAsia" w:ascii="方正仿宋_GBK" w:cs="宋体"/>
          <w:szCs w:val="32"/>
        </w:rPr>
        <w:t>《</w:t>
      </w:r>
      <w:r>
        <w:rPr>
          <w:rFonts w:hint="eastAsia" w:ascii="方正仿宋_GBK" w:cs="宋体"/>
          <w:bCs/>
          <w:kern w:val="0"/>
          <w:szCs w:val="32"/>
        </w:rPr>
        <w:t>江津区土壤环境监管重点企业名单</w:t>
      </w:r>
      <w:r>
        <w:rPr>
          <w:rFonts w:cs="Times New Roman"/>
          <w:bCs/>
          <w:kern w:val="0"/>
          <w:szCs w:val="32"/>
        </w:rPr>
        <w:t>（2018年度）</w:t>
      </w:r>
      <w:r>
        <w:rPr>
          <w:rFonts w:hint="eastAsia" w:ascii="方正仿宋_GBK" w:cs="宋体"/>
          <w:bCs/>
          <w:kern w:val="0"/>
          <w:szCs w:val="32"/>
        </w:rPr>
        <w:t>》监督管理。</w:t>
      </w:r>
      <w:r>
        <w:rPr>
          <w:rFonts w:hint="eastAsia" w:eastAsia="仿宋"/>
          <w:color w:val="000000"/>
          <w:kern w:val="0"/>
          <w:szCs w:val="32"/>
        </w:rPr>
        <w:t>土壤污染存在不可逆性特征，修复技术尚不够成熟，</w:t>
      </w:r>
      <w:r>
        <w:rPr>
          <w:rFonts w:eastAsia="仿宋"/>
          <w:color w:val="000000"/>
          <w:kern w:val="0"/>
          <w:szCs w:val="32"/>
        </w:rPr>
        <w:t>修复过程中的二次污染防治有待进一步强化</w:t>
      </w:r>
      <w:r>
        <w:rPr>
          <w:rFonts w:hint="eastAsia" w:eastAsia="仿宋"/>
          <w:color w:val="000000"/>
          <w:kern w:val="0"/>
          <w:szCs w:val="32"/>
        </w:rPr>
        <w:t>。</w:t>
      </w:r>
      <w:r>
        <w:rPr>
          <w:rFonts w:hint="eastAsia"/>
        </w:rPr>
        <w:t>疑似污染地块名录、污染地块名录、管控和修复名录等三者的关系尚未理顺，建设用地土壤调查评估和管控修复的程序复杂，行政监管过度技术化。</w:t>
      </w:r>
      <w:r>
        <w:rPr>
          <w:rFonts w:hint="eastAsia"/>
          <w:lang w:val="zh-CN"/>
        </w:rPr>
        <w:t>全区境内共4个工业园区，其中沿江园区即德感工业园、珞璜工业园和白沙工业园，沿江工业组团带来一定的环境风险，土壤环境问题和固体废物污染多样性和复合性呈现，风险管控难度进一步加大。</w:t>
      </w:r>
      <w:r>
        <w:rPr>
          <w:rFonts w:hint="eastAsia"/>
        </w:rPr>
        <w:t>《土壤法》规定的企业用地自行监测、有毒有害物质排放报告、污染隐患排查等新制度，与传统环境影响评价、环境监测、排污许可证和环境执法等手段结合度不高。</w:t>
      </w:r>
    </w:p>
    <w:p>
      <w:pPr>
        <w:ind w:firstLine="643" w:firstLineChars="200"/>
      </w:pPr>
      <w:r>
        <w:rPr>
          <w:rFonts w:hint="eastAsia"/>
          <w:b/>
        </w:rPr>
        <w:t>土壤污染防治保障措施待完善</w:t>
      </w:r>
      <w:r>
        <w:rPr>
          <w:rFonts w:hint="eastAsia"/>
        </w:rPr>
        <w:t>。一是联动监管机制有待进一步完善。土壤污染防治工作各部门间职责交叉，部门间联动监管机制不够完善，互动不够、互通互补不足，在用地规划、收储、出让等环节遗漏疑似污染地块信息。污染地块再开发利用准入管理机制需要进一步完善，对用途拟变更为住宅、公共管理与公共服务用地的地块，如果不在疑似污染地块名录内，容易导致在开发利用环节无法得到有效监管。建设用地土壤环境监管与国土空间规划衔接不足，部分地区土壤污染修复周期与开发进度需求之间矛盾突出。一些污染地块急于再开发利用与土壤风险管控和修复活动周期长之间的矛盾较为突出。二是技术支撑保障不够有力。耕地污染溯源、在产企业土壤和地下水污染风险管控、降低受污染耕地重金属含量等方面，还没有成熟适用的技术模式。同时，污染地块修复工程中使用的药剂和设备均尚未标准化，修复成本依然偏高。地下水突发环境事件应急专家、技术、设备、材料等缺乏。卫星遥感、无人机、大数据、人工智能等现代化手段在土壤、地下水污染防治决策支撑和环境监管中应用不足。</w:t>
      </w:r>
    </w:p>
    <w:p>
      <w:pPr>
        <w:pStyle w:val="4"/>
        <w:ind w:firstLine="643"/>
        <w:rPr>
          <w:lang w:val="zh-CN"/>
        </w:rPr>
      </w:pPr>
      <w:bookmarkStart w:id="39" w:name="_Toc84695461"/>
      <w:bookmarkStart w:id="40" w:name="_Toc85018501"/>
      <w:bookmarkStart w:id="41" w:name="_Toc84695686"/>
      <w:bookmarkStart w:id="42" w:name="_Toc84695734"/>
      <w:r>
        <w:rPr>
          <w:lang w:val="zh-CN"/>
        </w:rPr>
        <w:t>2.</w:t>
      </w:r>
      <w:r>
        <w:rPr>
          <w:rFonts w:hint="eastAsia"/>
          <w:lang w:val="zh-CN"/>
        </w:rPr>
        <w:t>农业农村生态环境亟需改善</w:t>
      </w:r>
      <w:bookmarkEnd w:id="39"/>
      <w:bookmarkEnd w:id="40"/>
      <w:bookmarkEnd w:id="41"/>
      <w:bookmarkEnd w:id="42"/>
    </w:p>
    <w:p>
      <w:pPr>
        <w:ind w:firstLine="643" w:firstLineChars="200"/>
      </w:pPr>
      <w:r>
        <w:rPr>
          <w:rFonts w:hint="eastAsia"/>
          <w:b/>
          <w:color w:val="333333"/>
        </w:rPr>
        <w:t>城乡环境基础设施建设差距依然较大</w:t>
      </w:r>
      <w:r>
        <w:rPr>
          <w:rFonts w:hint="eastAsia"/>
          <w:color w:val="333333"/>
        </w:rPr>
        <w:t>。</w:t>
      </w:r>
      <w:r>
        <w:rPr>
          <w:rFonts w:hint="eastAsia" w:cs="Times New Roman"/>
          <w:shd w:val="clear" w:color="auto" w:fill="FDFDFD"/>
        </w:rPr>
        <w:t>农村地区环境基础设施仍有不少欠账，农业农村面源污染还较为严重。</w:t>
      </w:r>
      <w:r>
        <w:rPr>
          <w:rFonts w:hint="eastAsia"/>
          <w:color w:val="333333"/>
        </w:rPr>
        <w:t>一是与城镇相比，农村环境基础设施建设严重滞后。2</w:t>
      </w:r>
      <w:r>
        <w:rPr>
          <w:color w:val="333333"/>
        </w:rPr>
        <w:t>020</w:t>
      </w:r>
      <w:r>
        <w:rPr>
          <w:rFonts w:hint="eastAsia"/>
          <w:color w:val="333333"/>
        </w:rPr>
        <w:t>年，江津区城市生活污水处理率为</w:t>
      </w:r>
      <w:r>
        <w:rPr>
          <w:rFonts w:hint="eastAsia" w:cs="Times New Roman"/>
          <w:szCs w:val="28"/>
        </w:rPr>
        <w:t>95.39%，乡镇生活污水处理率达85.04%，而农村生活污水处理率仅</w:t>
      </w:r>
      <w:r>
        <w:rPr>
          <w:rFonts w:cs="Times New Roman"/>
          <w:szCs w:val="28"/>
        </w:rPr>
        <w:t>38.52</w:t>
      </w:r>
      <w:r>
        <w:rPr>
          <w:rFonts w:hint="eastAsia" w:cs="Times New Roman"/>
          <w:szCs w:val="28"/>
        </w:rPr>
        <w:t>%，与城镇生活污水处理水平仍有差距。二是畜禽养殖污染物排放总量大，粪污资源化利用率较低，种养结合程度不够。粪污处理利用技术支撑还需加强，</w:t>
      </w:r>
      <w:r>
        <w:rPr>
          <w:rFonts w:hint="eastAsia"/>
        </w:rPr>
        <w:t>部分养殖场内部设施设备工艺缺失，仍有</w:t>
      </w:r>
      <w:r>
        <w:t>50</w:t>
      </w:r>
      <w:r>
        <w:rPr>
          <w:rFonts w:hint="eastAsia"/>
        </w:rPr>
        <w:t>家畜禽养殖场存在未配备粪便处理利用设施、设备维护较差及产能不足等现象；养殖场的氨气、甲烷等治理模式还处于起步阶段，迫切需要从源头减量、过程控制和末端处理全过程探索综合的畜禽养殖场减臭治污模式。三是农村黑臭水体工作开展处于起步阶段，目前，全区农村黑臭水体底数不清，分布面广。</w:t>
      </w:r>
    </w:p>
    <w:p>
      <w:pPr>
        <w:ind w:firstLine="643" w:firstLineChars="200"/>
        <w:rPr>
          <w:rFonts w:cs="Times New Roman"/>
          <w:shd w:val="clear" w:color="auto" w:fill="FDFDFD"/>
        </w:rPr>
      </w:pPr>
      <w:r>
        <w:rPr>
          <w:rFonts w:hint="eastAsia" w:cs="Times New Roman"/>
          <w:b/>
          <w:shd w:val="clear" w:color="auto" w:fill="FDFDFD"/>
        </w:rPr>
        <w:t>农村生态环境治理体系和治理能力依然薄弱</w:t>
      </w:r>
      <w:r>
        <w:rPr>
          <w:rFonts w:hint="eastAsia" w:cs="Times New Roman"/>
          <w:shd w:val="clear" w:color="auto" w:fill="FDFDFD"/>
        </w:rPr>
        <w:t>。一是农业面源污染监测基本处于空白。生态环境部门的农业面源污染监测工作面临监测网缺失、制度方法不健全等现实问题，履行监督指导农业面源污染防治职责的能力不足。亟需建立农业面源污染监测体系，开展农业面源污染源普查，开展农业面源污染评价体系研究。二是农村环保法律法规政策缺失较多，已出台的农村环保优惠扶持政策有待进一步细化和落实。三是农村环境保护与农业经济高质量发展依然缺少协同互动，全区农业生产主要依靠资源消耗的粗放经营方式没有根本改变，农业面源污染趋势尚未有效遏制，绿色优质农产品供给还不能够满足人民群众日益增长的需求，农业绿色发展道路任重道远。</w:t>
      </w:r>
    </w:p>
    <w:p>
      <w:pPr>
        <w:pStyle w:val="4"/>
        <w:ind w:firstLine="643"/>
        <w:rPr>
          <w:lang w:val="zh-CN"/>
        </w:rPr>
      </w:pPr>
      <w:bookmarkStart w:id="43" w:name="_Toc84695460"/>
      <w:bookmarkStart w:id="44" w:name="_Toc84695685"/>
      <w:bookmarkStart w:id="45" w:name="_Toc84695733"/>
      <w:bookmarkStart w:id="46" w:name="_Toc85018502"/>
      <w:bookmarkStart w:id="47" w:name="_Toc84695735"/>
      <w:bookmarkStart w:id="48" w:name="_Toc84695462"/>
      <w:bookmarkStart w:id="49" w:name="_Toc84695687"/>
      <w:r>
        <w:rPr>
          <w:lang w:val="zh-CN"/>
        </w:rPr>
        <w:t>3.</w:t>
      </w:r>
      <w:r>
        <w:rPr>
          <w:rFonts w:hint="eastAsia"/>
          <w:lang w:val="zh-CN"/>
        </w:rPr>
        <w:t>地下水污染防治工作形势严峻</w:t>
      </w:r>
      <w:bookmarkEnd w:id="43"/>
      <w:bookmarkEnd w:id="44"/>
      <w:bookmarkEnd w:id="45"/>
      <w:bookmarkEnd w:id="46"/>
    </w:p>
    <w:p>
      <w:pPr>
        <w:ind w:firstLine="640" w:firstLineChars="200"/>
      </w:pPr>
      <w:r>
        <w:rPr>
          <w:rFonts w:ascii="方正仿宋_GBK"/>
          <w:szCs w:val="32"/>
        </w:rPr>
        <w:t>地下水</w:t>
      </w:r>
      <w:r>
        <w:rPr>
          <w:rFonts w:hint="eastAsia" w:ascii="方正仿宋_GBK"/>
          <w:szCs w:val="32"/>
        </w:rPr>
        <w:t>环境保护基础的薄弱</w:t>
      </w:r>
      <w:r>
        <w:rPr>
          <w:rFonts w:ascii="方正仿宋_GBK"/>
          <w:szCs w:val="32"/>
        </w:rPr>
        <w:t>问题逐步凸显，部分工业园区和重点企业地下水污染严重、并有连片扩散趋势。</w:t>
      </w:r>
      <w:r>
        <w:rPr>
          <w:rFonts w:hint="eastAsia" w:ascii="方正仿宋_GBK"/>
          <w:szCs w:val="32"/>
        </w:rPr>
        <w:t>地下水环境协同治理修复还处于起步阶段。亟需探索地下水污染防治的管理模式和技术路径，保持地下水环境质量总体稳定。</w:t>
      </w:r>
      <w:r>
        <w:rPr>
          <w:rFonts w:hint="eastAsia"/>
        </w:rPr>
        <w:t>地下水水质受地表径流、周边地层、区域场地等多方面影响，与地表水相比，地下水受到的污染来源更加隐蔽，城市管网漏损、农业面源及地表水污染等均会对地下水环境质量造成影响。地下水环境监测刚刚起步，已有地下水环境监测网络分散，尚未形成满足实际需求的监测体系，难以掌握环境质量变化趋势。对工业集聚区、危险废物处置场、垃圾填埋场等重点污染源区域周边地下水环境状况掌握不足，未定期组织开展对存在地下水环境污染隐患和风险区域进行地下水监测，地下水污染防治工作亟待加强。基层监测、监管和执法队伍建设亟待加强，数字化辅助监管的应用还较为初级。</w:t>
      </w:r>
    </w:p>
    <w:p>
      <w:pPr>
        <w:pStyle w:val="4"/>
        <w:ind w:firstLine="643"/>
        <w:rPr>
          <w:lang w:val="zh-CN"/>
        </w:rPr>
      </w:pPr>
      <w:bookmarkStart w:id="50" w:name="_Toc85018503"/>
      <w:r>
        <w:rPr>
          <w:rFonts w:hint="eastAsia"/>
          <w:lang w:val="zh-CN"/>
        </w:rPr>
        <w:t>4</w:t>
      </w:r>
      <w:r>
        <w:rPr>
          <w:lang w:val="zh-CN"/>
        </w:rPr>
        <w:t>.</w:t>
      </w:r>
      <w:r>
        <w:rPr>
          <w:rFonts w:hint="eastAsia"/>
          <w:lang w:val="zh-CN"/>
        </w:rPr>
        <w:t>环境监管能力亟需提升</w:t>
      </w:r>
      <w:bookmarkEnd w:id="47"/>
      <w:bookmarkEnd w:id="48"/>
      <w:bookmarkEnd w:id="49"/>
      <w:bookmarkEnd w:id="50"/>
    </w:p>
    <w:p>
      <w:pPr>
        <w:ind w:firstLine="640" w:firstLineChars="200"/>
        <w:rPr>
          <w:lang w:val="zh-CN"/>
        </w:rPr>
      </w:pPr>
      <w:r>
        <w:rPr>
          <w:rFonts w:hint="eastAsia"/>
        </w:rPr>
        <w:t>一是人员不足，从“十三五”开始，治土工作的重要逐渐凸显，江津区虽成立土壤科，但受编制限制，难以配备具体负责人员。土壤科具体工作分管土壤、固废管理、重金属、化学品，而随着农业农村、地下水污染防治职能的划入，实际从事土壤环境管理的人员很可能不增反减。二是监管能力不足，与治水、治气达标管理不同，国家在治土上引入了国外的风险评估制度，通俗来说，就是在土壤超标的情况下，还需通过计算判断其对人体健康的风险，技术性更强。人员专业能力还满足不了环境监管到位的要求。乡镇基层环境监管能力严重不足，难以满足工作需要。全区监察执法队伍装备水平亟待加强，执法监管尚未将土壤污染防治作为环境执法的重要内容，应急体系有待进一步健全。三是土壤和地下水污染管控修复刚刚起步，对实施效果、二次污染防治、土壤污染治理从业单位信用监管，缺乏有效的环境监管手段。</w:t>
      </w:r>
    </w:p>
    <w:p>
      <w:pPr>
        <w:pStyle w:val="3"/>
        <w:ind w:firstLine="640"/>
        <w:rPr>
          <w:lang w:val="zh-CN"/>
        </w:rPr>
      </w:pPr>
      <w:bookmarkStart w:id="51" w:name="_Toc73027385"/>
      <w:bookmarkStart w:id="52" w:name="_Toc55906090"/>
      <w:bookmarkStart w:id="53" w:name="_Toc84695736"/>
      <w:bookmarkStart w:id="54" w:name="_Toc85018504"/>
      <w:bookmarkStart w:id="55" w:name="_Toc84695813"/>
      <w:bookmarkStart w:id="56" w:name="_Toc84695688"/>
      <w:bookmarkStart w:id="57" w:name="_Toc84695463"/>
      <w:r>
        <w:rPr>
          <w:rFonts w:hint="eastAsia"/>
          <w:lang w:val="zh-CN"/>
        </w:rPr>
        <w:t>（三）“十四五”</w:t>
      </w:r>
      <w:bookmarkEnd w:id="51"/>
      <w:bookmarkEnd w:id="52"/>
      <w:r>
        <w:rPr>
          <w:rFonts w:hint="eastAsia"/>
          <w:lang w:val="zh-CN"/>
        </w:rPr>
        <w:t>期间总体形势研判</w:t>
      </w:r>
      <w:bookmarkEnd w:id="53"/>
      <w:bookmarkEnd w:id="54"/>
      <w:bookmarkEnd w:id="55"/>
      <w:bookmarkEnd w:id="56"/>
      <w:bookmarkEnd w:id="57"/>
    </w:p>
    <w:p>
      <w:pPr>
        <w:pStyle w:val="4"/>
        <w:ind w:firstLine="643"/>
        <w:rPr>
          <w:lang w:val="zh-CN"/>
        </w:rPr>
      </w:pPr>
      <w:bookmarkStart w:id="58" w:name="_Toc84695464"/>
      <w:bookmarkStart w:id="59" w:name="_Toc84695689"/>
      <w:bookmarkStart w:id="60" w:name="_Toc84695737"/>
      <w:bookmarkStart w:id="61" w:name="_Toc85018505"/>
      <w:r>
        <w:rPr>
          <w:rFonts w:hint="eastAsia"/>
          <w:lang w:val="zh-CN"/>
        </w:rPr>
        <w:t>1</w:t>
      </w:r>
      <w:r>
        <w:rPr>
          <w:lang w:val="zh-CN"/>
        </w:rPr>
        <w:t>.</w:t>
      </w:r>
      <w:bookmarkEnd w:id="58"/>
      <w:bookmarkEnd w:id="59"/>
      <w:bookmarkEnd w:id="60"/>
      <w:r>
        <w:rPr>
          <w:rFonts w:hint="eastAsia"/>
          <w:lang w:val="zh-CN"/>
        </w:rPr>
        <w:t>土壤污染防治面临的重要机遇</w:t>
      </w:r>
      <w:bookmarkEnd w:id="61"/>
    </w:p>
    <w:p>
      <w:pPr>
        <w:ind w:firstLine="643" w:firstLineChars="200"/>
      </w:pPr>
      <w:r>
        <w:rPr>
          <w:rFonts w:hint="eastAsia"/>
          <w:b/>
          <w:lang w:val="zh-CN"/>
        </w:rPr>
        <w:t>重大区域发展战略交汇为江津生态环境协同治污带来新机遇</w:t>
      </w:r>
      <w:r>
        <w:rPr>
          <w:rFonts w:hint="eastAsia"/>
          <w:lang w:val="zh-CN"/>
        </w:rPr>
        <w:t>。</w:t>
      </w:r>
      <w:r>
        <w:rPr>
          <w:rFonts w:hint="eastAsia"/>
        </w:rPr>
        <w:t>党中央高度重视生态环境保护工作，党的十八大以来，就生态环境保护和生态文明建设提出一系列新理念、新思想、新战略，为新时期生态环境保护工作提供了重要指引和根本遵循。江津区位于“一带一路”、长江经济带发展、新时代西部大开发、成渝地区双城经济圈建设等重大战略联结点，作为“融入主城的先行区、渝西发展的领头羊、川渝合作的排头兵”在区域发展格局中具有重要地位，进一步加强与各区域在土壤、地下水、和农业农村等生态环境保护方面的沟通交流和协同合作，有助于促进江津构建生态环境保护共商、共建、共保的发展新格局，有助于协同解决土壤、地下水和农业农村污染防治攻坚的重难点问题。</w:t>
      </w:r>
    </w:p>
    <w:p>
      <w:pPr>
        <w:ind w:firstLine="643" w:firstLineChars="200"/>
      </w:pPr>
      <w:bookmarkStart w:id="62" w:name="_Toc84695738"/>
      <w:bookmarkStart w:id="63" w:name="_Toc84695465"/>
      <w:bookmarkStart w:id="64" w:name="_Toc84695690"/>
      <w:r>
        <w:rPr>
          <w:rFonts w:hint="eastAsia"/>
          <w:b/>
          <w:lang w:val="zh-CN"/>
        </w:rPr>
        <w:t>“十三五”时期生态环境保护工作为山清水秀美丽江津建设奠定了坚实基础</w:t>
      </w:r>
      <w:bookmarkEnd w:id="62"/>
      <w:bookmarkEnd w:id="63"/>
      <w:bookmarkEnd w:id="64"/>
      <w:r>
        <w:rPr>
          <w:rFonts w:hint="eastAsia"/>
          <w:lang w:val="zh-CN"/>
        </w:rPr>
        <w:t>。</w:t>
      </w:r>
      <w:r>
        <w:rPr>
          <w:rFonts w:hint="eastAsia"/>
        </w:rPr>
        <w:t>“十三五”时期，通过实施土壤污染详查、地下水污染调查，基本掌握了土壤、地下水污染状况，为精准治污、对症下药指明了方向。随着促进经济绿色高质量发展、产业结构转型升级、科技支撑能力提升、中央财政专项资金持续投入，涉重行业企业逐步向产业化、规模化发展，污染物排放压力趋缓，解决了一批突出的土壤、地下水生态环境问题。政府及各部门、企业、公众生态环境保护意识日益增强，公众和社会组织参与和监督环境保护的积极性在迅速提高，全社会保护生态环境的合力逐步形成。</w:t>
      </w:r>
    </w:p>
    <w:p>
      <w:pPr>
        <w:ind w:firstLine="643" w:firstLineChars="200"/>
      </w:pPr>
      <w:bookmarkStart w:id="65" w:name="_Toc84695691"/>
      <w:bookmarkStart w:id="66" w:name="_Toc84695466"/>
      <w:bookmarkStart w:id="67" w:name="_Toc84695739"/>
      <w:r>
        <w:rPr>
          <w:rFonts w:hint="eastAsia"/>
          <w:b/>
          <w:lang w:val="zh-CN"/>
        </w:rPr>
        <w:t>“深入打好污染防治攻坚战”为土壤污染防治提供持久动力和战略定力</w:t>
      </w:r>
      <w:bookmarkEnd w:id="65"/>
      <w:bookmarkEnd w:id="66"/>
      <w:bookmarkEnd w:id="67"/>
      <w:r>
        <w:rPr>
          <w:rFonts w:hint="eastAsia"/>
          <w:lang w:val="zh-CN"/>
        </w:rPr>
        <w:t>。</w:t>
      </w:r>
      <w:r>
        <w:rPr>
          <w:rFonts w:hint="eastAsia"/>
        </w:rPr>
        <w:t>“十四五”时期，“生态文明建设实现新进步”的目标要求和“深入打好污染防治攻坚战、持续改善环境质量”的任务要求，势必将形成土壤、地下水及农业农村生态环境污染防治更多的产业发展空间和对土壤、地下水及农业农村环境精细化管理的深入需求，土壤、地下水及农业农村污染防治将迎来大好的发展机遇。中央全面深化改革委员会第二十一次会议审议通过《关于深入打好污染防治攻坚战的意见》，会议提出，要巩固污染防治攻坚成果，坚持精准治污、科学治污、依法治污，以更高标准打好蓝天、碧水、净土保卫战，以高水平保护推动高质量发展、创造高品质生活，努力建设人与自然和谐共生的美丽中国。后续，配套的深入打好污染防治攻坚战相关政策文件将会相继出台，也将有效指导土壤环境污染防治工作的向纵深推进，确保土壤污染防治工作的方向不变、力度不减，更加突出精准、科学、依法治理。</w:t>
      </w:r>
    </w:p>
    <w:p>
      <w:pPr>
        <w:pStyle w:val="4"/>
        <w:ind w:firstLine="643"/>
        <w:rPr>
          <w:lang w:val="zh-CN"/>
        </w:rPr>
      </w:pPr>
      <w:bookmarkStart w:id="68" w:name="_Toc85018506"/>
      <w:r>
        <w:rPr>
          <w:rFonts w:hint="eastAsia"/>
          <w:lang w:val="zh-CN"/>
        </w:rPr>
        <w:t>2</w:t>
      </w:r>
      <w:r>
        <w:rPr>
          <w:lang w:val="zh-CN"/>
        </w:rPr>
        <w:t>.</w:t>
      </w:r>
      <w:r>
        <w:rPr>
          <w:rFonts w:hint="eastAsia"/>
          <w:lang w:val="zh-CN"/>
        </w:rPr>
        <w:t>土壤污染防治面临的挑战</w:t>
      </w:r>
      <w:bookmarkEnd w:id="68"/>
    </w:p>
    <w:p>
      <w:pPr>
        <w:ind w:firstLine="643" w:firstLineChars="200"/>
      </w:pPr>
      <w:r>
        <w:rPr>
          <w:rFonts w:hint="eastAsia"/>
          <w:b/>
        </w:rPr>
        <w:t>土壤、地下水与农业农村生态环境保护工作基础依然薄弱</w:t>
      </w:r>
      <w:r>
        <w:rPr>
          <w:rFonts w:hint="eastAsia"/>
        </w:rPr>
        <w:t>。土壤、地下水和农业农村生态环境保护工作起步较晚，相关法规标准、技术规范、监测网络有待进一步完善，问题发现机制和手段需要进一步提高。随着地表水、大气污染防治加快迈入巩固提升轨道，刚刚起步的土壤和地下水更加凸显为全面改善生态环境质量的“短板”，与地表水和大气污染相比，土壤及地下水污染具有隐蔽性和滞后性。部门间协同监管机制有待进一步加强。</w:t>
      </w:r>
      <w:r>
        <w:rPr>
          <w:rFonts w:eastAsia="仿宋"/>
          <w:bCs/>
          <w:color w:val="000000"/>
          <w:szCs w:val="32"/>
        </w:rPr>
        <w:t>土壤、地下水</w:t>
      </w:r>
      <w:r>
        <w:rPr>
          <w:rFonts w:hint="eastAsia" w:eastAsia="仿宋"/>
          <w:bCs/>
          <w:color w:val="000000"/>
          <w:szCs w:val="32"/>
        </w:rPr>
        <w:t>和农业农村生态环境</w:t>
      </w:r>
      <w:r>
        <w:rPr>
          <w:rFonts w:eastAsia="仿宋"/>
          <w:bCs/>
          <w:color w:val="000000"/>
          <w:szCs w:val="32"/>
        </w:rPr>
        <w:t>污染防治技术和监管手段，还跟不上全面治理污染、切实管控风险的迫切需求</w:t>
      </w:r>
      <w:r>
        <w:rPr>
          <w:rFonts w:hint="eastAsia" w:eastAsia="仿宋"/>
          <w:bCs/>
          <w:color w:val="000000"/>
          <w:szCs w:val="32"/>
        </w:rPr>
        <w:t>，</w:t>
      </w:r>
      <w:r>
        <w:rPr>
          <w:rFonts w:eastAsia="仿宋"/>
          <w:bCs/>
          <w:color w:val="000000"/>
          <w:szCs w:val="32"/>
        </w:rPr>
        <w:t>不欠新账、逐步还旧账的压力很大</w:t>
      </w:r>
      <w:r>
        <w:rPr>
          <w:rFonts w:hint="eastAsia" w:eastAsia="仿宋"/>
          <w:bCs/>
          <w:color w:val="000000"/>
          <w:szCs w:val="32"/>
        </w:rPr>
        <w:t>，</w:t>
      </w:r>
      <w:r>
        <w:rPr>
          <w:rFonts w:eastAsia="仿宋"/>
          <w:bCs/>
          <w:color w:val="000000"/>
          <w:szCs w:val="32"/>
        </w:rPr>
        <w:t>农产品超标风险</w:t>
      </w:r>
      <w:r>
        <w:rPr>
          <w:rFonts w:hint="eastAsia" w:eastAsia="仿宋"/>
          <w:bCs/>
          <w:color w:val="000000"/>
          <w:szCs w:val="32"/>
        </w:rPr>
        <w:t>、</w:t>
      </w:r>
      <w:r>
        <w:rPr>
          <w:rFonts w:eastAsia="仿宋"/>
          <w:bCs/>
          <w:color w:val="000000"/>
          <w:szCs w:val="32"/>
        </w:rPr>
        <w:t>污染地块违法违规开发利用</w:t>
      </w:r>
      <w:r>
        <w:rPr>
          <w:rFonts w:hint="eastAsia" w:eastAsia="仿宋"/>
          <w:bCs/>
          <w:color w:val="000000"/>
          <w:szCs w:val="32"/>
        </w:rPr>
        <w:t>风险依然存在</w:t>
      </w:r>
      <w:r>
        <w:rPr>
          <w:rFonts w:eastAsia="仿宋"/>
          <w:bCs/>
          <w:color w:val="000000"/>
          <w:szCs w:val="32"/>
        </w:rPr>
        <w:t>。</w:t>
      </w:r>
      <w:r>
        <w:rPr>
          <w:rFonts w:hint="eastAsia"/>
        </w:rPr>
        <w:t>土壤、地下水和农业农村生态环境方面缺乏相关专业配套工作人员，缺少必要的监管执法手段，相关环境保护政策、环境保护机构、环境保护人员以及环境保护基础设施均供给不足，难以对土壤环境保护实施有效监管。</w:t>
      </w:r>
    </w:p>
    <w:p>
      <w:pPr>
        <w:ind w:firstLine="643" w:firstLineChars="200"/>
      </w:pPr>
      <w:r>
        <w:rPr>
          <w:rFonts w:hint="eastAsia"/>
          <w:b/>
        </w:rPr>
        <w:t>农村污染治理绿色化转型依然困难重重</w:t>
      </w:r>
      <w:r>
        <w:rPr>
          <w:rFonts w:hint="eastAsia"/>
        </w:rPr>
        <w:t>。农村生活垃圾治理在分类体系建设、末端处理设施选址和建设等方面存在明显短板，一些交通不便的村庄，仍在沿用非正规垃圾填埋场，垃圾容易随降雨冲到下游，堵塞河道。畜禽养殖快速发展，但配套设施装备和消纳条件跟不上，产生的畜禽粪污得不到及时有效处理，很容易造成环境污染，对农民生产生活带来不利影响，甚至造成疾病传播。</w:t>
      </w:r>
    </w:p>
    <w:p>
      <w:pPr>
        <w:ind w:firstLine="643" w:firstLineChars="200"/>
        <w:rPr>
          <w:rFonts w:cs="Times New Roman"/>
          <w:szCs w:val="32"/>
        </w:rPr>
      </w:pPr>
      <w:r>
        <w:rPr>
          <w:rFonts w:hint="eastAsia"/>
          <w:b/>
        </w:rPr>
        <w:t>经济高质量发展与生态</w:t>
      </w:r>
      <w:r>
        <w:rPr>
          <w:rFonts w:hint="eastAsia"/>
          <w:b/>
          <w:lang w:eastAsia="zh-CN"/>
        </w:rPr>
        <w:t>环</w:t>
      </w:r>
      <w:r>
        <w:rPr>
          <w:rFonts w:hint="eastAsia"/>
          <w:b/>
        </w:rPr>
        <w:t>境高水平保护协同共进还有一定难度</w:t>
      </w:r>
      <w:r>
        <w:rPr>
          <w:rFonts w:hint="eastAsia"/>
        </w:rPr>
        <w:t>。“十四五”时期，江津区经济社会高质量发展，将加快全区新型城镇化、新型工业化和农业现代化进程和发展水平，将需要更多的安全的土地给予保障和支持，另一方面也会随着经济社会活动空间的优化调整，形成更多的需要进行修复或者管控的土地。</w:t>
      </w:r>
      <w:r>
        <w:rPr>
          <w:rFonts w:hint="eastAsia" w:cs="Times New Roman"/>
          <w:szCs w:val="32"/>
        </w:rPr>
        <w:t>资源环境承载能力有限，园区企业将不断增加，资源与环境约束不断增强，企业减排增收和农业稳产保供压力较大，统筹推进高质量发展和生态环境高水平保护难度增加。在经济发展面临困难增多的复杂形势下，部分地区存在对生态环境保护的重视程度减弱、保护意愿下降、行动要求放松、投入力度减小的现象，污染防治问题存在反弹风险。</w:t>
      </w:r>
    </w:p>
    <w:p>
      <w:pPr>
        <w:ind w:firstLine="640" w:firstLineChars="200"/>
      </w:pPr>
      <w:r>
        <w:rPr>
          <w:rFonts w:hint="eastAsia" w:cs="Times New Roman"/>
          <w:szCs w:val="32"/>
        </w:rPr>
        <w:t>综上所述，“十四五”时期，面临的国内外形势更加复杂，经济社会发展不确定性显著提升，土壤、地下水及农业农村生态环境保护机遇和挑战并存。必须坚持以人民为中心，坚持问题导向、目标导向和结果导向，以提高生态环境质量为核心，继续坚持底线思维、保持战略定力，深入打好污染防治攻坚战，使全区生态环境质量保持改善趋势，推动生态文明建设迈上新台阶，切实增强人民群众获得感、幸福感和安全感，推动生态文明建设实现新进步。</w:t>
      </w:r>
    </w:p>
    <w:p>
      <w:pPr>
        <w:pStyle w:val="2"/>
        <w:rPr>
          <w:lang w:val="zh-CN"/>
        </w:rPr>
      </w:pPr>
      <w:bookmarkStart w:id="69" w:name="_Toc55906091"/>
      <w:bookmarkStart w:id="70" w:name="_Toc73027386"/>
      <w:bookmarkStart w:id="71" w:name="_Toc85018507"/>
      <w:bookmarkStart w:id="72" w:name="_Toc84695697"/>
      <w:bookmarkStart w:id="73" w:name="_Toc84695745"/>
      <w:bookmarkStart w:id="74" w:name="_Toc84695472"/>
      <w:bookmarkStart w:id="75" w:name="_Toc84695814"/>
      <w:r>
        <w:rPr>
          <w:rFonts w:hint="eastAsia"/>
          <w:lang w:val="zh-CN"/>
        </w:rPr>
        <w:t>第二章 总体</w:t>
      </w:r>
      <w:bookmarkEnd w:id="69"/>
      <w:bookmarkEnd w:id="70"/>
      <w:r>
        <w:rPr>
          <w:rFonts w:hint="eastAsia"/>
        </w:rPr>
        <w:t>思路</w:t>
      </w:r>
      <w:bookmarkEnd w:id="71"/>
      <w:bookmarkEnd w:id="72"/>
      <w:bookmarkEnd w:id="73"/>
      <w:bookmarkEnd w:id="74"/>
      <w:bookmarkEnd w:id="75"/>
    </w:p>
    <w:p>
      <w:pPr>
        <w:pStyle w:val="3"/>
        <w:ind w:firstLine="640"/>
        <w:rPr>
          <w:lang w:val="zh-CN"/>
        </w:rPr>
      </w:pPr>
      <w:bookmarkStart w:id="76" w:name="_Toc84695698"/>
      <w:bookmarkStart w:id="77" w:name="_Toc73027387"/>
      <w:bookmarkStart w:id="78" w:name="_Toc84695473"/>
      <w:bookmarkStart w:id="79" w:name="_Toc85018508"/>
      <w:bookmarkStart w:id="80" w:name="_Toc84695815"/>
      <w:bookmarkStart w:id="81" w:name="_Toc55906092"/>
      <w:bookmarkStart w:id="82" w:name="_Toc84695746"/>
      <w:r>
        <w:rPr>
          <w:rFonts w:hint="eastAsia"/>
          <w:lang w:val="zh-CN"/>
        </w:rPr>
        <w:t>（一）指导思想</w:t>
      </w:r>
      <w:bookmarkEnd w:id="76"/>
      <w:bookmarkEnd w:id="77"/>
      <w:bookmarkEnd w:id="78"/>
      <w:bookmarkEnd w:id="79"/>
      <w:bookmarkEnd w:id="80"/>
      <w:bookmarkEnd w:id="81"/>
      <w:bookmarkEnd w:id="82"/>
    </w:p>
    <w:p>
      <w:pPr>
        <w:ind w:firstLine="640" w:firstLineChars="200"/>
        <w:rPr>
          <w:lang w:val="zh-CN"/>
        </w:rPr>
      </w:pPr>
      <w:r>
        <w:rPr>
          <w:rFonts w:hint="eastAsia"/>
          <w:lang w:val="zh-CN"/>
        </w:rPr>
        <w:t>以习近平新时代中国特色社会主义思想为指导，全面贯彻党的十九大和十九届二中、三中、四中、五中全会精神，深学笃用习近平生态文明思想，全面落实习近平总书记对重庆“两点”定位、“两地”“两高”目标、发挥“三个作用”和</w:t>
      </w:r>
      <w:r>
        <w:rPr>
          <w:rFonts w:hint="eastAsia" w:cs="Times New Roman"/>
          <w:szCs w:val="28"/>
        </w:rPr>
        <w:t>推动成渝地区双城经济圈建设等重要指示要求，立足新发展阶段，贯彻新发展理念，融入新发展格局，</w:t>
      </w:r>
      <w:r>
        <w:rPr>
          <w:rFonts w:hint="eastAsia"/>
          <w:lang w:val="zh-CN"/>
        </w:rPr>
        <w:t>把修复长江生态环境摆在压倒性位置，</w:t>
      </w:r>
      <w:r>
        <w:rPr>
          <w:rFonts w:cs="Times New Roman"/>
          <w:szCs w:val="28"/>
        </w:rPr>
        <w:t>筑牢长江上游重要生态屏障，</w:t>
      </w:r>
      <w:r>
        <w:rPr>
          <w:rFonts w:hint="eastAsia"/>
          <w:lang w:val="zh-CN"/>
        </w:rPr>
        <w:t>坚持人与自然和谐共生的基本方略，坚定不移走生态优先、绿色发展新路子，以持续改善生态环境质量为核心，以深入打好污染防治攻坚战为主线，坚持山水林田湖草统筹治理与修复，突出精准治污、科学治污、依法治污，以保障粮食和人居环境安全、地下水生态环境安全、建设生态绿色农业、保护农村生态环境为出发点，进一步夯实工作基础、理顺推进机制，解决一批突出的土壤、地下水与农业农村生态环境问题，推进污染治理体系和能力现代化，促进土壤和地下水资源可持续利用、推动农业生产绿色发展、助推乡村生态振兴，加快建设“一江碧水两岸青山，山清水秀美丽江津”。</w:t>
      </w:r>
    </w:p>
    <w:p>
      <w:pPr>
        <w:ind w:firstLine="640" w:firstLineChars="200"/>
        <w:jc w:val="left"/>
        <w:outlineLvl w:val="1"/>
        <w:rPr>
          <w:rFonts w:ascii="方正楷体_GBK" w:hAnsi="方正楷体_GBK" w:eastAsia="方正楷体_GBK" w:cs="方正楷体_GBK"/>
          <w:bCs/>
          <w:szCs w:val="32"/>
          <w:lang w:val="zh-CN"/>
        </w:rPr>
      </w:pPr>
      <w:bookmarkStart w:id="83" w:name="_Toc55906093"/>
      <w:bookmarkStart w:id="84" w:name="_Toc84695816"/>
      <w:bookmarkStart w:id="85" w:name="_Toc84695699"/>
      <w:bookmarkStart w:id="86" w:name="_Toc84695747"/>
      <w:bookmarkStart w:id="87" w:name="_Toc73027388"/>
      <w:bookmarkStart w:id="88" w:name="_Toc84695474"/>
      <w:bookmarkStart w:id="89" w:name="_Toc85018509"/>
      <w:r>
        <w:rPr>
          <w:rFonts w:hint="eastAsia" w:ascii="方正楷体_GBK" w:hAnsi="方正楷体_GBK" w:eastAsia="方正楷体_GBK" w:cs="方正楷体_GBK"/>
          <w:bCs/>
          <w:szCs w:val="32"/>
          <w:lang w:val="zh-CN"/>
        </w:rPr>
        <w:t>（二）基本</w:t>
      </w:r>
      <w:bookmarkEnd w:id="83"/>
      <w:r>
        <w:rPr>
          <w:rFonts w:hint="eastAsia" w:ascii="方正楷体_GBK" w:hAnsi="方正楷体_GBK" w:eastAsia="方正楷体_GBK" w:cs="方正楷体_GBK"/>
          <w:bCs/>
          <w:szCs w:val="32"/>
          <w:lang w:val="zh-CN"/>
        </w:rPr>
        <w:t>原则</w:t>
      </w:r>
      <w:bookmarkEnd w:id="84"/>
      <w:bookmarkEnd w:id="85"/>
      <w:bookmarkEnd w:id="86"/>
      <w:bookmarkEnd w:id="87"/>
      <w:bookmarkEnd w:id="88"/>
      <w:bookmarkEnd w:id="89"/>
    </w:p>
    <w:p>
      <w:pPr>
        <w:ind w:firstLine="643" w:firstLineChars="200"/>
        <w:rPr>
          <w:lang w:val="zh-CN"/>
        </w:rPr>
      </w:pPr>
      <w:r>
        <w:rPr>
          <w:rFonts w:hint="eastAsia"/>
          <w:b/>
          <w:lang w:val="zh-CN"/>
        </w:rPr>
        <w:t>坚持预防为主，保护优先</w:t>
      </w:r>
      <w:r>
        <w:rPr>
          <w:rFonts w:hint="eastAsia"/>
          <w:lang w:val="zh-CN"/>
        </w:rPr>
        <w:t>。着力处理好发展和保护的关系，协同推进新型工业化、城镇化、农业现代化治理体系。坚持立足当前与着眼长远相结合，加强生态环境保护与稳增长、调结构、惠民生、防风险相结合，强化源头防控，推进供给侧结构性改革，优化空间布局，从源头预防生态破坏和环境污染，加大生态环境治理力度，促进人与自然和谐发展。</w:t>
      </w:r>
    </w:p>
    <w:p>
      <w:pPr>
        <w:ind w:firstLine="643" w:firstLineChars="200"/>
        <w:rPr>
          <w:lang w:val="zh-CN"/>
        </w:rPr>
      </w:pPr>
      <w:r>
        <w:rPr>
          <w:rFonts w:hint="eastAsia"/>
          <w:b/>
          <w:lang w:val="zh-CN"/>
        </w:rPr>
        <w:t>坚持问题导向，管控风险</w:t>
      </w:r>
      <w:r>
        <w:rPr>
          <w:rFonts w:hint="eastAsia"/>
          <w:lang w:val="zh-CN"/>
        </w:rPr>
        <w:t>。优先解决影响吃、住安全的突出环境问题。打通地下污染与地上污染协同治理通道，统筹城乡生态环境一体保护，坚决守住受污染耕地风险防控、污染地块开发安全、地下水污染防扩散、农村黑臭水体防反弹这四根底线，建立健全“及时发现问题、及早解决问题”的风险隐患管控机制。</w:t>
      </w:r>
    </w:p>
    <w:p>
      <w:pPr>
        <w:ind w:firstLine="643" w:firstLineChars="200"/>
        <w:rPr>
          <w:lang w:val="zh-CN"/>
        </w:rPr>
      </w:pPr>
      <w:r>
        <w:rPr>
          <w:rFonts w:hint="eastAsia"/>
          <w:b/>
          <w:lang w:val="zh-CN"/>
        </w:rPr>
        <w:t>坚持提升能力，依法治污</w:t>
      </w:r>
      <w:r>
        <w:rPr>
          <w:rFonts w:hint="eastAsia"/>
          <w:lang w:val="zh-CN"/>
        </w:rPr>
        <w:t>。推进治理能力和治理体系现代化。以数字化改革为引领，坚持“整体智治、唯实唯先”强化技术支撑和数字赋能，推进土壤、地下水和农业农村污染防治领域数字化转型。健全污染防治的法制、监测、监管和执法体系，提升污染治理科学化、智慧化水平，加快实现精准治污、科学治污、依法治污。</w:t>
      </w:r>
    </w:p>
    <w:p>
      <w:pPr>
        <w:ind w:firstLine="643" w:firstLineChars="200"/>
        <w:rPr>
          <w:lang w:val="zh-CN"/>
        </w:rPr>
      </w:pPr>
      <w:r>
        <w:rPr>
          <w:rFonts w:hint="eastAsia"/>
          <w:b/>
        </w:rPr>
        <w:t>坚持区域协同，联防联治</w:t>
      </w:r>
      <w:r>
        <w:rPr>
          <w:rFonts w:hint="eastAsia"/>
        </w:rPr>
        <w:t>。推进</w:t>
      </w:r>
      <w:r>
        <w:rPr>
          <w:rFonts w:hint="eastAsia"/>
          <w:lang w:eastAsia="zh-CN"/>
        </w:rPr>
        <w:t>跨</w:t>
      </w:r>
      <w:r>
        <w:rPr>
          <w:rFonts w:hint="eastAsia"/>
        </w:rPr>
        <w:t>区域生态共建环境共保，做到统一谋划、一体部署、相互协作、共同实施，深入四川省、贵州省接壤地区的联防联治，切实改善区域环境质量，强化长江上游生态大保护。坚持生态环境保护一体化理念，积极融入成渝地区双城经济圈和“一区两群”发展战略，按照山水林田湖草是一个生命共同体的理念，</w:t>
      </w:r>
      <w:r>
        <w:rPr>
          <w:rFonts w:hint="eastAsia"/>
          <w:szCs w:val="30"/>
        </w:rPr>
        <w:t>协同推进成渝地区双城经济圈生态共建环境共保</w:t>
      </w:r>
      <w:r>
        <w:rPr>
          <w:rFonts w:hint="eastAsia" w:ascii="仿宋_GB2312"/>
        </w:rPr>
        <w:t>，</w:t>
      </w:r>
      <w:r>
        <w:rPr>
          <w:rFonts w:hint="eastAsia"/>
          <w:szCs w:val="30"/>
        </w:rPr>
        <w:t>借助成渝地区的全国影响力提升我区生活宜居品质</w:t>
      </w:r>
      <w:r>
        <w:rPr>
          <w:rFonts w:hint="eastAsia"/>
        </w:rPr>
        <w:t>。</w:t>
      </w:r>
    </w:p>
    <w:p>
      <w:pPr>
        <w:ind w:firstLine="640" w:firstLineChars="200"/>
        <w:jc w:val="left"/>
        <w:outlineLvl w:val="1"/>
        <w:rPr>
          <w:rFonts w:ascii="方正楷体_GBK" w:hAnsi="方正楷体_GBK" w:eastAsia="方正楷体_GBK" w:cs="方正楷体_GBK"/>
          <w:bCs/>
          <w:szCs w:val="32"/>
        </w:rPr>
      </w:pPr>
      <w:bookmarkStart w:id="90" w:name="_Toc73027389"/>
      <w:bookmarkStart w:id="91" w:name="_Toc84695748"/>
      <w:bookmarkStart w:id="92" w:name="_Toc84695817"/>
      <w:bookmarkStart w:id="93" w:name="_Toc84695475"/>
      <w:bookmarkStart w:id="94" w:name="_Toc85018510"/>
      <w:bookmarkStart w:id="95" w:name="_Toc84695700"/>
      <w:r>
        <w:rPr>
          <w:rFonts w:hint="eastAsia" w:ascii="方正楷体_GBK" w:hAnsi="方正楷体_GBK" w:eastAsia="方正楷体_GBK" w:cs="方正楷体_GBK"/>
          <w:bCs/>
          <w:szCs w:val="32"/>
          <w:lang w:val="zh-CN"/>
        </w:rPr>
        <w:t>（三）</w:t>
      </w:r>
      <w:bookmarkEnd w:id="90"/>
      <w:r>
        <w:rPr>
          <w:rFonts w:hint="eastAsia" w:ascii="方正楷体_GBK" w:hAnsi="方正楷体_GBK" w:eastAsia="方正楷体_GBK" w:cs="方正楷体_GBK"/>
          <w:bCs/>
          <w:szCs w:val="32"/>
        </w:rPr>
        <w:t>目标指标</w:t>
      </w:r>
      <w:bookmarkEnd w:id="91"/>
      <w:bookmarkEnd w:id="92"/>
      <w:bookmarkEnd w:id="93"/>
      <w:bookmarkEnd w:id="94"/>
      <w:bookmarkEnd w:id="95"/>
    </w:p>
    <w:p>
      <w:pPr>
        <w:ind w:firstLine="640" w:firstLineChars="200"/>
      </w:pPr>
      <w:r>
        <w:rPr>
          <w:rFonts w:hint="eastAsia"/>
        </w:rPr>
        <w:t>到2</w:t>
      </w:r>
      <w:r>
        <w:t>025</w:t>
      </w:r>
      <w:r>
        <w:rPr>
          <w:rFonts w:hint="eastAsia"/>
        </w:rPr>
        <w:t>年，江津区土壤和地下水污染源基本得到控制，土壤和地下水环境质量总体保持稳定，农用地和建设用地土壤环境安全得到进一步保障，土壤和地下水环境风险得到进一步管控，农业面源污染监管体系逐步形成，农村生态环境基础设施建设加快推进，农业农村生态环境进一步改善。</w:t>
      </w:r>
    </w:p>
    <w:p>
      <w:pPr>
        <w:ind w:firstLine="640" w:firstLineChars="200"/>
      </w:pPr>
      <w:r>
        <w:rPr>
          <w:rFonts w:hint="eastAsia"/>
        </w:rPr>
        <w:t>到203</w:t>
      </w:r>
      <w:r>
        <w:t>0</w:t>
      </w:r>
      <w:r>
        <w:rPr>
          <w:rFonts w:hint="eastAsia"/>
        </w:rPr>
        <w:t>年，江津区土壤和地下水环境质量稳中向好，农用地和建设用地土壤环境安全得到有效保障，土壤环境风险得到全面管控，农业面源污染得到有效遏制，农村生态环境治理能力明显加强，农业农村生态环境得到明显改善。</w:t>
      </w:r>
    </w:p>
    <w:p>
      <w:pPr>
        <w:ind w:firstLine="640"/>
      </w:pPr>
      <w:r>
        <w:rPr>
          <w:rFonts w:hint="eastAsia"/>
        </w:rPr>
        <w:t>——土壤环境质量稳中向好。土壤环境质量稳中向好，农用地和建设用地土壤环境安全得到有效保障。到2025年，受污染耕地安全利用率达到95%，污染地块安全利用率达到100%。</w:t>
      </w:r>
    </w:p>
    <w:p>
      <w:pPr>
        <w:ind w:firstLine="640"/>
      </w:pPr>
      <w:r>
        <w:rPr>
          <w:rFonts w:hint="eastAsia"/>
        </w:rPr>
        <w:t>——地下水环境质量得到有效改善。定期对地下水水质进行监测，及时发现问题，采取应对整治措施。到2025年，地下水环境质量得到进一步管控。</w:t>
      </w:r>
    </w:p>
    <w:p>
      <w:pPr>
        <w:ind w:firstLine="640" w:firstLineChars="200"/>
      </w:pPr>
      <w:r>
        <w:rPr>
          <w:rFonts w:hint="eastAsia"/>
        </w:rPr>
        <w:t>——农业农村生态环境进一步改善。农村生活污水治理率及农村生活污水得到治理的农户覆盖率稳步提升，农村生活污水处理后排放标准符合《农村生活污水集中处理设施水污染物排放标准》相关规定。到2025年，农业面源污染得到有效遏制，全区实现农药、化肥施用量零增长。</w:t>
      </w:r>
    </w:p>
    <w:p>
      <w:pPr>
        <w:jc w:val="center"/>
        <w:rPr>
          <w:rFonts w:ascii="方正黑体_GBK" w:eastAsia="方正黑体_GBK"/>
          <w:sz w:val="28"/>
          <w:szCs w:val="28"/>
        </w:rPr>
      </w:pPr>
      <w:r>
        <w:rPr>
          <w:rFonts w:hint="eastAsia" w:ascii="方正黑体_GBK" w:eastAsia="方正黑体_GBK"/>
          <w:sz w:val="28"/>
          <w:szCs w:val="28"/>
        </w:rPr>
        <w:t>专栏</w:t>
      </w:r>
      <w:r>
        <w:rPr>
          <w:rFonts w:eastAsia="方正黑体_GBK" w:cs="Times New Roman"/>
          <w:sz w:val="28"/>
          <w:szCs w:val="28"/>
        </w:rPr>
        <w:t>2</w:t>
      </w:r>
      <w:r>
        <w:rPr>
          <w:rFonts w:hint="eastAsia" w:ascii="方正黑体_GBK" w:eastAsia="方正黑体_GBK"/>
          <w:sz w:val="28"/>
          <w:szCs w:val="28"/>
        </w:rPr>
        <w:t xml:space="preserve">  江津区“十四五”土壤污染防治规划目标指标</w:t>
      </w:r>
    </w:p>
    <w:tbl>
      <w:tblPr>
        <w:tblStyle w:val="31"/>
        <w:tblW w:w="50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01"/>
        <w:gridCol w:w="1035"/>
        <w:gridCol w:w="2208"/>
        <w:gridCol w:w="992"/>
        <w:gridCol w:w="1277"/>
        <w:gridCol w:w="1386"/>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278" w:type="pct"/>
            <w:vAlign w:val="center"/>
          </w:tcPr>
          <w:p>
            <w:pPr>
              <w:pStyle w:val="45"/>
              <w:spacing w:line="300" w:lineRule="exact"/>
              <w:jc w:val="center"/>
              <w:rPr>
                <w:rFonts w:eastAsia="方正黑体_GBK"/>
                <w:szCs w:val="21"/>
              </w:rPr>
            </w:pPr>
            <w:r>
              <w:rPr>
                <w:rFonts w:eastAsia="方正黑体_GBK"/>
                <w:szCs w:val="21"/>
              </w:rPr>
              <w:t>序号</w:t>
            </w:r>
          </w:p>
        </w:tc>
        <w:tc>
          <w:tcPr>
            <w:tcW w:w="575" w:type="pct"/>
            <w:vAlign w:val="center"/>
          </w:tcPr>
          <w:p>
            <w:pPr>
              <w:pStyle w:val="45"/>
              <w:spacing w:line="300" w:lineRule="exact"/>
              <w:jc w:val="center"/>
              <w:rPr>
                <w:rFonts w:eastAsia="方正黑体_GBK"/>
                <w:szCs w:val="21"/>
              </w:rPr>
            </w:pPr>
            <w:r>
              <w:rPr>
                <w:rFonts w:hint="eastAsia" w:eastAsia="方正黑体_GBK"/>
                <w:szCs w:val="21"/>
              </w:rPr>
              <w:t>任务</w:t>
            </w:r>
          </w:p>
        </w:tc>
        <w:tc>
          <w:tcPr>
            <w:tcW w:w="1226" w:type="pct"/>
            <w:vAlign w:val="center"/>
          </w:tcPr>
          <w:p>
            <w:pPr>
              <w:pStyle w:val="45"/>
              <w:spacing w:line="300" w:lineRule="exact"/>
              <w:jc w:val="center"/>
              <w:rPr>
                <w:rFonts w:eastAsia="方正黑体_GBK"/>
                <w:szCs w:val="21"/>
              </w:rPr>
            </w:pPr>
            <w:r>
              <w:rPr>
                <w:rFonts w:eastAsia="方正黑体_GBK"/>
                <w:szCs w:val="21"/>
              </w:rPr>
              <w:t>指标</w:t>
            </w:r>
          </w:p>
        </w:tc>
        <w:tc>
          <w:tcPr>
            <w:tcW w:w="551" w:type="pct"/>
            <w:vAlign w:val="center"/>
          </w:tcPr>
          <w:p>
            <w:pPr>
              <w:pStyle w:val="45"/>
              <w:spacing w:line="300" w:lineRule="exact"/>
              <w:jc w:val="center"/>
              <w:rPr>
                <w:rFonts w:eastAsia="方正黑体_GBK"/>
                <w:szCs w:val="21"/>
              </w:rPr>
            </w:pPr>
            <w:r>
              <w:rPr>
                <w:rFonts w:hint="eastAsia" w:eastAsia="方正黑体_GBK"/>
                <w:szCs w:val="21"/>
              </w:rPr>
              <w:t>类型</w:t>
            </w:r>
          </w:p>
        </w:tc>
        <w:tc>
          <w:tcPr>
            <w:tcW w:w="709" w:type="pct"/>
            <w:vAlign w:val="center"/>
          </w:tcPr>
          <w:p>
            <w:pPr>
              <w:pStyle w:val="45"/>
              <w:spacing w:line="300" w:lineRule="exact"/>
              <w:jc w:val="center"/>
              <w:rPr>
                <w:rFonts w:eastAsia="方正黑体_GBK"/>
                <w:szCs w:val="21"/>
              </w:rPr>
            </w:pPr>
            <w:r>
              <w:rPr>
                <w:rFonts w:eastAsia="方正黑体_GBK"/>
                <w:szCs w:val="21"/>
              </w:rPr>
              <w:t>2020年现状</w:t>
            </w:r>
          </w:p>
        </w:tc>
        <w:tc>
          <w:tcPr>
            <w:tcW w:w="770" w:type="pct"/>
            <w:vAlign w:val="center"/>
          </w:tcPr>
          <w:p>
            <w:pPr>
              <w:pStyle w:val="45"/>
              <w:spacing w:line="300" w:lineRule="exact"/>
              <w:jc w:val="center"/>
              <w:rPr>
                <w:rFonts w:eastAsia="方正黑体_GBK"/>
                <w:szCs w:val="21"/>
              </w:rPr>
            </w:pPr>
            <w:r>
              <w:rPr>
                <w:rFonts w:hint="eastAsia" w:eastAsia="方正黑体_GBK"/>
                <w:szCs w:val="21"/>
              </w:rPr>
              <w:t>2</w:t>
            </w:r>
            <w:r>
              <w:rPr>
                <w:rFonts w:eastAsia="方正黑体_GBK"/>
                <w:szCs w:val="21"/>
              </w:rPr>
              <w:t>025</w:t>
            </w:r>
            <w:r>
              <w:rPr>
                <w:rFonts w:hint="eastAsia" w:eastAsia="方正黑体_GBK"/>
                <w:szCs w:val="21"/>
              </w:rPr>
              <w:t>年目标</w:t>
            </w:r>
          </w:p>
        </w:tc>
        <w:tc>
          <w:tcPr>
            <w:tcW w:w="891" w:type="pct"/>
            <w:vAlign w:val="center"/>
          </w:tcPr>
          <w:p>
            <w:pPr>
              <w:pStyle w:val="45"/>
              <w:spacing w:line="300" w:lineRule="exact"/>
              <w:jc w:val="center"/>
              <w:rPr>
                <w:rFonts w:eastAsia="方正黑体_GBK"/>
                <w:szCs w:val="21"/>
              </w:rPr>
            </w:pPr>
            <w:r>
              <w:rPr>
                <w:rFonts w:eastAsia="方正黑体_GBK"/>
                <w:szCs w:val="21"/>
              </w:rPr>
              <w:t>责任部门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vAlign w:val="center"/>
          </w:tcPr>
          <w:p>
            <w:pPr>
              <w:pStyle w:val="45"/>
              <w:spacing w:line="300" w:lineRule="exact"/>
              <w:jc w:val="center"/>
              <w:rPr>
                <w:szCs w:val="21"/>
              </w:rPr>
            </w:pPr>
            <w:r>
              <w:rPr>
                <w:szCs w:val="21"/>
              </w:rPr>
              <w:t>1</w:t>
            </w:r>
          </w:p>
        </w:tc>
        <w:tc>
          <w:tcPr>
            <w:tcW w:w="575" w:type="pct"/>
            <w:vMerge w:val="restart"/>
            <w:vAlign w:val="center"/>
          </w:tcPr>
          <w:p>
            <w:pPr>
              <w:spacing w:line="300" w:lineRule="exact"/>
              <w:jc w:val="center"/>
              <w:rPr>
                <w:sz w:val="21"/>
                <w:szCs w:val="21"/>
              </w:rPr>
            </w:pPr>
            <w:r>
              <w:rPr>
                <w:rFonts w:hint="eastAsia"/>
                <w:sz w:val="21"/>
                <w:szCs w:val="21"/>
              </w:rPr>
              <w:t>土壤污染防治</w:t>
            </w:r>
          </w:p>
        </w:tc>
        <w:tc>
          <w:tcPr>
            <w:tcW w:w="1226" w:type="pct"/>
            <w:vAlign w:val="center"/>
          </w:tcPr>
          <w:p>
            <w:pPr>
              <w:spacing w:line="300" w:lineRule="exact"/>
              <w:jc w:val="center"/>
              <w:rPr>
                <w:sz w:val="21"/>
                <w:szCs w:val="21"/>
              </w:rPr>
            </w:pPr>
            <w:r>
              <w:rPr>
                <w:rFonts w:hint="eastAsia"/>
                <w:sz w:val="21"/>
                <w:szCs w:val="21"/>
              </w:rPr>
              <w:t>超筛选值耕地安全利用率</w:t>
            </w:r>
          </w:p>
        </w:tc>
        <w:tc>
          <w:tcPr>
            <w:tcW w:w="551" w:type="pct"/>
            <w:vAlign w:val="center"/>
          </w:tcPr>
          <w:p>
            <w:pPr>
              <w:pStyle w:val="45"/>
              <w:spacing w:line="300" w:lineRule="exact"/>
              <w:jc w:val="center"/>
              <w:rPr>
                <w:szCs w:val="21"/>
              </w:rPr>
            </w:pPr>
            <w:r>
              <w:rPr>
                <w:rFonts w:hint="eastAsia"/>
                <w:szCs w:val="21"/>
              </w:rPr>
              <w:t>约束性</w:t>
            </w:r>
          </w:p>
        </w:tc>
        <w:tc>
          <w:tcPr>
            <w:tcW w:w="709" w:type="pct"/>
            <w:vAlign w:val="center"/>
          </w:tcPr>
          <w:p>
            <w:pPr>
              <w:pStyle w:val="45"/>
              <w:spacing w:line="300" w:lineRule="exact"/>
              <w:jc w:val="center"/>
              <w:rPr>
                <w:szCs w:val="21"/>
              </w:rPr>
            </w:pPr>
            <w:r>
              <w:rPr>
                <w:szCs w:val="21"/>
              </w:rPr>
              <w:t>95%</w:t>
            </w:r>
          </w:p>
        </w:tc>
        <w:tc>
          <w:tcPr>
            <w:tcW w:w="770" w:type="pct"/>
            <w:vAlign w:val="center"/>
          </w:tcPr>
          <w:p>
            <w:pPr>
              <w:pStyle w:val="45"/>
              <w:spacing w:line="300" w:lineRule="exact"/>
              <w:jc w:val="center"/>
              <w:rPr>
                <w:szCs w:val="21"/>
              </w:rPr>
            </w:pPr>
            <w:r>
              <w:rPr>
                <w:szCs w:val="21"/>
              </w:rPr>
              <w:t>95%</w:t>
            </w:r>
          </w:p>
        </w:tc>
        <w:tc>
          <w:tcPr>
            <w:tcW w:w="891" w:type="pct"/>
            <w:vAlign w:val="center"/>
          </w:tcPr>
          <w:p>
            <w:pPr>
              <w:pStyle w:val="45"/>
              <w:spacing w:line="300" w:lineRule="exact"/>
              <w:jc w:val="center"/>
              <w:rPr>
                <w:szCs w:val="21"/>
              </w:rPr>
            </w:pPr>
            <w:r>
              <w:rPr>
                <w:szCs w:val="21"/>
              </w:rPr>
              <w:t>区</w:t>
            </w:r>
            <w:r>
              <w:rPr>
                <w:rFonts w:hint="eastAsia"/>
                <w:szCs w:val="21"/>
              </w:rPr>
              <w:t>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vAlign w:val="center"/>
          </w:tcPr>
          <w:p>
            <w:pPr>
              <w:pStyle w:val="45"/>
              <w:spacing w:line="300" w:lineRule="exact"/>
              <w:jc w:val="center"/>
              <w:rPr>
                <w:szCs w:val="21"/>
              </w:rPr>
            </w:pPr>
            <w:r>
              <w:rPr>
                <w:szCs w:val="21"/>
              </w:rPr>
              <w:t>2</w:t>
            </w:r>
          </w:p>
        </w:tc>
        <w:tc>
          <w:tcPr>
            <w:tcW w:w="575" w:type="pct"/>
            <w:vMerge w:val="continue"/>
            <w:vAlign w:val="center"/>
          </w:tcPr>
          <w:p>
            <w:pPr>
              <w:spacing w:line="300" w:lineRule="exact"/>
              <w:jc w:val="center"/>
              <w:rPr>
                <w:sz w:val="21"/>
                <w:szCs w:val="21"/>
              </w:rPr>
            </w:pPr>
          </w:p>
        </w:tc>
        <w:tc>
          <w:tcPr>
            <w:tcW w:w="1226" w:type="pct"/>
            <w:vAlign w:val="center"/>
          </w:tcPr>
          <w:p>
            <w:pPr>
              <w:spacing w:line="300" w:lineRule="exact"/>
              <w:jc w:val="center"/>
              <w:rPr>
                <w:sz w:val="21"/>
                <w:szCs w:val="21"/>
              </w:rPr>
            </w:pPr>
            <w:r>
              <w:rPr>
                <w:rFonts w:hint="eastAsia"/>
                <w:sz w:val="21"/>
                <w:szCs w:val="21"/>
              </w:rPr>
              <w:t>超筛选值建设用地地块安全利用率</w:t>
            </w:r>
          </w:p>
        </w:tc>
        <w:tc>
          <w:tcPr>
            <w:tcW w:w="551" w:type="pct"/>
            <w:vAlign w:val="center"/>
          </w:tcPr>
          <w:p>
            <w:pPr>
              <w:pStyle w:val="45"/>
              <w:spacing w:line="300" w:lineRule="exact"/>
              <w:jc w:val="center"/>
              <w:rPr>
                <w:szCs w:val="21"/>
              </w:rPr>
            </w:pPr>
            <w:r>
              <w:rPr>
                <w:rFonts w:hint="eastAsia"/>
                <w:szCs w:val="21"/>
              </w:rPr>
              <w:t>约束性</w:t>
            </w:r>
          </w:p>
        </w:tc>
        <w:tc>
          <w:tcPr>
            <w:tcW w:w="709" w:type="pct"/>
            <w:vAlign w:val="center"/>
          </w:tcPr>
          <w:p>
            <w:pPr>
              <w:pStyle w:val="45"/>
              <w:spacing w:line="300" w:lineRule="exact"/>
              <w:jc w:val="center"/>
              <w:rPr>
                <w:szCs w:val="21"/>
              </w:rPr>
            </w:pPr>
            <w:r>
              <w:rPr>
                <w:szCs w:val="21"/>
              </w:rPr>
              <w:t>95%</w:t>
            </w:r>
          </w:p>
        </w:tc>
        <w:tc>
          <w:tcPr>
            <w:tcW w:w="770" w:type="pct"/>
            <w:vAlign w:val="center"/>
          </w:tcPr>
          <w:p>
            <w:pPr>
              <w:pStyle w:val="45"/>
              <w:spacing w:line="300" w:lineRule="exact"/>
              <w:jc w:val="center"/>
              <w:rPr>
                <w:szCs w:val="21"/>
              </w:rPr>
            </w:pPr>
            <w:r>
              <w:rPr>
                <w:szCs w:val="21"/>
              </w:rPr>
              <w:t>95%</w:t>
            </w:r>
          </w:p>
        </w:tc>
        <w:tc>
          <w:tcPr>
            <w:tcW w:w="891" w:type="pct"/>
            <w:vAlign w:val="center"/>
          </w:tcPr>
          <w:p>
            <w:pPr>
              <w:pStyle w:val="45"/>
              <w:spacing w:line="300" w:lineRule="exact"/>
              <w:jc w:val="center"/>
              <w:rPr>
                <w:szCs w:val="21"/>
              </w:rPr>
            </w:pPr>
            <w:r>
              <w:rPr>
                <w:szCs w:val="21"/>
              </w:rPr>
              <w:t>区</w:t>
            </w:r>
            <w:r>
              <w:rPr>
                <w:rFonts w:hint="eastAsia"/>
                <w:szCs w:val="21"/>
              </w:rPr>
              <w:t>规划和自然资源局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vAlign w:val="center"/>
          </w:tcPr>
          <w:p>
            <w:pPr>
              <w:pStyle w:val="45"/>
              <w:spacing w:line="300" w:lineRule="exact"/>
              <w:jc w:val="center"/>
              <w:rPr>
                <w:szCs w:val="21"/>
              </w:rPr>
            </w:pPr>
            <w:r>
              <w:rPr>
                <w:szCs w:val="21"/>
              </w:rPr>
              <w:t>3</w:t>
            </w:r>
          </w:p>
        </w:tc>
        <w:tc>
          <w:tcPr>
            <w:tcW w:w="575" w:type="pct"/>
            <w:vMerge w:val="restart"/>
            <w:vAlign w:val="center"/>
          </w:tcPr>
          <w:p>
            <w:pPr>
              <w:spacing w:line="300" w:lineRule="exact"/>
              <w:jc w:val="center"/>
              <w:rPr>
                <w:sz w:val="21"/>
                <w:szCs w:val="21"/>
              </w:rPr>
            </w:pPr>
            <w:r>
              <w:rPr>
                <w:rFonts w:hint="eastAsia"/>
                <w:sz w:val="21"/>
                <w:szCs w:val="21"/>
              </w:rPr>
              <w:t>地下水污染防治</w:t>
            </w:r>
          </w:p>
        </w:tc>
        <w:tc>
          <w:tcPr>
            <w:tcW w:w="1226" w:type="pct"/>
            <w:vAlign w:val="center"/>
          </w:tcPr>
          <w:p>
            <w:pPr>
              <w:spacing w:line="300" w:lineRule="exact"/>
              <w:jc w:val="center"/>
              <w:rPr>
                <w:sz w:val="21"/>
                <w:szCs w:val="21"/>
              </w:rPr>
            </w:pPr>
            <w:r>
              <w:rPr>
                <w:rFonts w:hint="eastAsia"/>
                <w:sz w:val="21"/>
                <w:szCs w:val="21"/>
              </w:rPr>
              <w:t>地下水质量III类水比例</w:t>
            </w:r>
          </w:p>
        </w:tc>
        <w:tc>
          <w:tcPr>
            <w:tcW w:w="551" w:type="pct"/>
            <w:vAlign w:val="center"/>
          </w:tcPr>
          <w:p>
            <w:pPr>
              <w:pStyle w:val="45"/>
              <w:spacing w:line="300" w:lineRule="exact"/>
              <w:jc w:val="center"/>
              <w:rPr>
                <w:szCs w:val="21"/>
              </w:rPr>
            </w:pPr>
            <w:r>
              <w:rPr>
                <w:rFonts w:hint="eastAsia"/>
                <w:szCs w:val="21"/>
              </w:rPr>
              <w:t>预期性</w:t>
            </w:r>
          </w:p>
        </w:tc>
        <w:tc>
          <w:tcPr>
            <w:tcW w:w="709" w:type="pct"/>
            <w:vAlign w:val="center"/>
          </w:tcPr>
          <w:p>
            <w:pPr>
              <w:pStyle w:val="45"/>
              <w:spacing w:line="300" w:lineRule="exact"/>
              <w:jc w:val="center"/>
              <w:rPr>
                <w:szCs w:val="21"/>
              </w:rPr>
            </w:pPr>
            <w:r>
              <w:rPr>
                <w:rFonts w:hint="eastAsia"/>
                <w:szCs w:val="21"/>
              </w:rPr>
              <w:t>1</w:t>
            </w:r>
            <w:r>
              <w:rPr>
                <w:szCs w:val="21"/>
              </w:rPr>
              <w:t>00</w:t>
            </w:r>
            <w:r>
              <w:rPr>
                <w:rFonts w:hint="eastAsia"/>
                <w:szCs w:val="21"/>
              </w:rPr>
              <w:t>%</w:t>
            </w:r>
          </w:p>
        </w:tc>
        <w:tc>
          <w:tcPr>
            <w:tcW w:w="770" w:type="pct"/>
            <w:vAlign w:val="center"/>
          </w:tcPr>
          <w:p>
            <w:pPr>
              <w:pStyle w:val="45"/>
              <w:spacing w:line="300" w:lineRule="exact"/>
              <w:jc w:val="center"/>
              <w:rPr>
                <w:szCs w:val="21"/>
              </w:rPr>
            </w:pPr>
            <w:r>
              <w:rPr>
                <w:rFonts w:hint="eastAsia"/>
                <w:szCs w:val="21"/>
              </w:rPr>
              <w:t>*</w:t>
            </w:r>
          </w:p>
        </w:tc>
        <w:tc>
          <w:tcPr>
            <w:tcW w:w="891" w:type="pct"/>
            <w:vAlign w:val="center"/>
          </w:tcPr>
          <w:p>
            <w:pPr>
              <w:pStyle w:val="45"/>
              <w:spacing w:line="300" w:lineRule="exact"/>
              <w:jc w:val="center"/>
              <w:rPr>
                <w:szCs w:val="21"/>
              </w:rPr>
            </w:pPr>
            <w:r>
              <w:rPr>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vAlign w:val="center"/>
          </w:tcPr>
          <w:p>
            <w:pPr>
              <w:pStyle w:val="45"/>
              <w:spacing w:line="300" w:lineRule="exact"/>
              <w:jc w:val="center"/>
              <w:rPr>
                <w:szCs w:val="21"/>
              </w:rPr>
            </w:pPr>
            <w:r>
              <w:rPr>
                <w:szCs w:val="21"/>
              </w:rPr>
              <w:t>4</w:t>
            </w:r>
          </w:p>
        </w:tc>
        <w:tc>
          <w:tcPr>
            <w:tcW w:w="575" w:type="pct"/>
            <w:vMerge w:val="continue"/>
            <w:vAlign w:val="center"/>
          </w:tcPr>
          <w:p>
            <w:pPr>
              <w:spacing w:line="300" w:lineRule="exact"/>
              <w:jc w:val="center"/>
              <w:rPr>
                <w:sz w:val="21"/>
                <w:szCs w:val="21"/>
              </w:rPr>
            </w:pPr>
          </w:p>
        </w:tc>
        <w:tc>
          <w:tcPr>
            <w:tcW w:w="1226" w:type="pct"/>
            <w:vAlign w:val="center"/>
          </w:tcPr>
          <w:p>
            <w:pPr>
              <w:spacing w:line="300" w:lineRule="exact"/>
              <w:jc w:val="center"/>
              <w:rPr>
                <w:sz w:val="21"/>
                <w:szCs w:val="21"/>
              </w:rPr>
            </w:pPr>
            <w:r>
              <w:rPr>
                <w:rFonts w:hint="eastAsia"/>
                <w:sz w:val="21"/>
                <w:szCs w:val="21"/>
              </w:rPr>
              <w:t>地下水质量V类水比例</w:t>
            </w:r>
          </w:p>
        </w:tc>
        <w:tc>
          <w:tcPr>
            <w:tcW w:w="551" w:type="pct"/>
            <w:vAlign w:val="center"/>
          </w:tcPr>
          <w:p>
            <w:pPr>
              <w:pStyle w:val="45"/>
              <w:spacing w:line="300" w:lineRule="exact"/>
              <w:jc w:val="center"/>
              <w:rPr>
                <w:szCs w:val="21"/>
              </w:rPr>
            </w:pPr>
            <w:r>
              <w:rPr>
                <w:rFonts w:hint="eastAsia"/>
                <w:szCs w:val="21"/>
              </w:rPr>
              <w:t>预期性</w:t>
            </w:r>
          </w:p>
        </w:tc>
        <w:tc>
          <w:tcPr>
            <w:tcW w:w="709" w:type="pct"/>
            <w:vAlign w:val="center"/>
          </w:tcPr>
          <w:p>
            <w:pPr>
              <w:pStyle w:val="45"/>
              <w:spacing w:line="300" w:lineRule="exact"/>
              <w:jc w:val="center"/>
              <w:rPr>
                <w:szCs w:val="21"/>
              </w:rPr>
            </w:pPr>
            <w:r>
              <w:rPr>
                <w:rFonts w:hint="eastAsia"/>
                <w:szCs w:val="21"/>
              </w:rPr>
              <w:t>0</w:t>
            </w:r>
          </w:p>
        </w:tc>
        <w:tc>
          <w:tcPr>
            <w:tcW w:w="770" w:type="pct"/>
            <w:vAlign w:val="center"/>
          </w:tcPr>
          <w:p>
            <w:pPr>
              <w:pStyle w:val="45"/>
              <w:spacing w:line="300" w:lineRule="exact"/>
              <w:jc w:val="center"/>
              <w:rPr>
                <w:szCs w:val="21"/>
              </w:rPr>
            </w:pPr>
            <w:r>
              <w:rPr>
                <w:rFonts w:hint="eastAsia"/>
                <w:szCs w:val="21"/>
              </w:rPr>
              <w:t>*</w:t>
            </w:r>
          </w:p>
        </w:tc>
        <w:tc>
          <w:tcPr>
            <w:tcW w:w="891" w:type="pct"/>
            <w:vAlign w:val="center"/>
          </w:tcPr>
          <w:p>
            <w:pPr>
              <w:pStyle w:val="45"/>
              <w:spacing w:line="300" w:lineRule="exact"/>
              <w:jc w:val="center"/>
              <w:rPr>
                <w:szCs w:val="21"/>
              </w:rPr>
            </w:pPr>
            <w:r>
              <w:rPr>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vAlign w:val="center"/>
          </w:tcPr>
          <w:p>
            <w:pPr>
              <w:pStyle w:val="45"/>
              <w:spacing w:line="300" w:lineRule="exact"/>
              <w:jc w:val="center"/>
              <w:rPr>
                <w:szCs w:val="21"/>
              </w:rPr>
            </w:pPr>
            <w:r>
              <w:rPr>
                <w:szCs w:val="21"/>
              </w:rPr>
              <w:t>5</w:t>
            </w:r>
          </w:p>
        </w:tc>
        <w:tc>
          <w:tcPr>
            <w:tcW w:w="575" w:type="pct"/>
            <w:vMerge w:val="restart"/>
            <w:vAlign w:val="center"/>
          </w:tcPr>
          <w:p>
            <w:pPr>
              <w:pStyle w:val="45"/>
              <w:spacing w:line="300" w:lineRule="exact"/>
              <w:jc w:val="center"/>
              <w:rPr>
                <w:szCs w:val="21"/>
              </w:rPr>
            </w:pPr>
            <w:r>
              <w:rPr>
                <w:rFonts w:hint="eastAsia"/>
                <w:szCs w:val="21"/>
              </w:rPr>
              <w:t>农业农村污染防治</w:t>
            </w:r>
          </w:p>
        </w:tc>
        <w:tc>
          <w:tcPr>
            <w:tcW w:w="1226" w:type="pct"/>
            <w:vAlign w:val="center"/>
          </w:tcPr>
          <w:p>
            <w:pPr>
              <w:pStyle w:val="45"/>
              <w:spacing w:line="300" w:lineRule="exact"/>
              <w:jc w:val="center"/>
              <w:rPr>
                <w:szCs w:val="21"/>
              </w:rPr>
            </w:pPr>
            <w:r>
              <w:rPr>
                <w:rFonts w:hint="eastAsia"/>
                <w:szCs w:val="21"/>
              </w:rPr>
              <w:t>地下水污染源环境风险管控比例</w:t>
            </w:r>
          </w:p>
        </w:tc>
        <w:tc>
          <w:tcPr>
            <w:tcW w:w="551" w:type="pct"/>
            <w:vAlign w:val="center"/>
          </w:tcPr>
          <w:p>
            <w:pPr>
              <w:pStyle w:val="45"/>
              <w:spacing w:line="300" w:lineRule="exact"/>
              <w:jc w:val="center"/>
              <w:rPr>
                <w:szCs w:val="21"/>
              </w:rPr>
            </w:pPr>
            <w:r>
              <w:rPr>
                <w:rFonts w:hint="eastAsia"/>
                <w:szCs w:val="21"/>
              </w:rPr>
              <w:t>预期性</w:t>
            </w:r>
          </w:p>
        </w:tc>
        <w:tc>
          <w:tcPr>
            <w:tcW w:w="709" w:type="pct"/>
            <w:vAlign w:val="center"/>
          </w:tcPr>
          <w:p>
            <w:pPr>
              <w:pStyle w:val="45"/>
              <w:spacing w:line="300" w:lineRule="exact"/>
              <w:jc w:val="center"/>
              <w:rPr>
                <w:szCs w:val="21"/>
              </w:rPr>
            </w:pPr>
            <w:r>
              <w:rPr>
                <w:rFonts w:hint="eastAsia"/>
                <w:szCs w:val="21"/>
              </w:rPr>
              <w:t>1</w:t>
            </w:r>
            <w:r>
              <w:rPr>
                <w:szCs w:val="21"/>
              </w:rPr>
              <w:t>00</w:t>
            </w:r>
            <w:r>
              <w:rPr>
                <w:rFonts w:hint="eastAsia"/>
                <w:szCs w:val="21"/>
              </w:rPr>
              <w:t>%</w:t>
            </w:r>
          </w:p>
        </w:tc>
        <w:tc>
          <w:tcPr>
            <w:tcW w:w="770" w:type="pct"/>
            <w:vAlign w:val="center"/>
          </w:tcPr>
          <w:p>
            <w:pPr>
              <w:pStyle w:val="45"/>
              <w:spacing w:line="300" w:lineRule="exact"/>
              <w:jc w:val="center"/>
              <w:rPr>
                <w:szCs w:val="21"/>
              </w:rPr>
            </w:pPr>
            <w:r>
              <w:rPr>
                <w:rFonts w:hint="eastAsia"/>
                <w:szCs w:val="21"/>
              </w:rPr>
              <w:t>*</w:t>
            </w:r>
          </w:p>
        </w:tc>
        <w:tc>
          <w:tcPr>
            <w:tcW w:w="891" w:type="pct"/>
            <w:vAlign w:val="center"/>
          </w:tcPr>
          <w:p>
            <w:pPr>
              <w:pStyle w:val="45"/>
              <w:spacing w:line="300" w:lineRule="exact"/>
              <w:jc w:val="center"/>
              <w:rPr>
                <w:szCs w:val="21"/>
              </w:rPr>
            </w:pPr>
            <w:r>
              <w:rPr>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tcBorders>
              <w:top w:val="single" w:color="000000" w:sz="4" w:space="0"/>
              <w:left w:val="single" w:color="000000" w:sz="4" w:space="0"/>
              <w:bottom w:val="single" w:color="000000" w:sz="4" w:space="0"/>
            </w:tcBorders>
            <w:vAlign w:val="center"/>
          </w:tcPr>
          <w:p>
            <w:pPr>
              <w:pStyle w:val="45"/>
              <w:spacing w:line="300" w:lineRule="exact"/>
              <w:jc w:val="center"/>
              <w:rPr>
                <w:szCs w:val="21"/>
              </w:rPr>
            </w:pPr>
            <w:r>
              <w:rPr>
                <w:szCs w:val="21"/>
              </w:rPr>
              <w:t>6</w:t>
            </w:r>
          </w:p>
        </w:tc>
        <w:tc>
          <w:tcPr>
            <w:tcW w:w="575" w:type="pct"/>
            <w:vMerge w:val="continue"/>
            <w:vAlign w:val="center"/>
          </w:tcPr>
          <w:p>
            <w:pPr>
              <w:pStyle w:val="45"/>
              <w:spacing w:line="300" w:lineRule="exact"/>
              <w:jc w:val="center"/>
              <w:rPr>
                <w:szCs w:val="21"/>
              </w:rPr>
            </w:pPr>
          </w:p>
        </w:tc>
        <w:tc>
          <w:tcPr>
            <w:tcW w:w="1226" w:type="pct"/>
            <w:tcBorders>
              <w:top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畜禽粪污综合利用率</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预期性</w:t>
            </w:r>
          </w:p>
        </w:tc>
        <w:tc>
          <w:tcPr>
            <w:tcW w:w="709"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szCs w:val="21"/>
              </w:rPr>
              <w:t>92.28%</w:t>
            </w:r>
          </w:p>
        </w:tc>
        <w:tc>
          <w:tcPr>
            <w:tcW w:w="770"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szCs w:val="21"/>
              </w:rPr>
              <w:t>区</w:t>
            </w:r>
            <w:r>
              <w:rPr>
                <w:rFonts w:hint="eastAsia"/>
                <w:szCs w:val="21"/>
              </w:rPr>
              <w:t>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tcBorders>
              <w:top w:val="single" w:color="000000" w:sz="4" w:space="0"/>
              <w:left w:val="single" w:color="000000" w:sz="4" w:space="0"/>
              <w:bottom w:val="single" w:color="000000" w:sz="4" w:space="0"/>
            </w:tcBorders>
            <w:vAlign w:val="center"/>
          </w:tcPr>
          <w:p>
            <w:pPr>
              <w:pStyle w:val="45"/>
              <w:spacing w:line="300" w:lineRule="exact"/>
              <w:jc w:val="center"/>
              <w:rPr>
                <w:szCs w:val="21"/>
              </w:rPr>
            </w:pPr>
            <w:r>
              <w:rPr>
                <w:szCs w:val="21"/>
              </w:rPr>
              <w:t>7</w:t>
            </w:r>
          </w:p>
        </w:tc>
        <w:tc>
          <w:tcPr>
            <w:tcW w:w="575" w:type="pct"/>
            <w:vMerge w:val="continue"/>
            <w:vAlign w:val="center"/>
          </w:tcPr>
          <w:p>
            <w:pPr>
              <w:pStyle w:val="45"/>
              <w:spacing w:line="300" w:lineRule="exact"/>
              <w:jc w:val="center"/>
              <w:rPr>
                <w:szCs w:val="21"/>
              </w:rPr>
            </w:pPr>
          </w:p>
        </w:tc>
        <w:tc>
          <w:tcPr>
            <w:tcW w:w="1226" w:type="pct"/>
            <w:tcBorders>
              <w:top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化肥农药使用总量减少比例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预期性</w:t>
            </w:r>
          </w:p>
        </w:tc>
        <w:tc>
          <w:tcPr>
            <w:tcW w:w="709"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1.5%</w:t>
            </w:r>
          </w:p>
        </w:tc>
        <w:tc>
          <w:tcPr>
            <w:tcW w:w="770"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1.8%</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szCs w:val="21"/>
              </w:rPr>
              <w:t>区</w:t>
            </w:r>
            <w:r>
              <w:rPr>
                <w:rFonts w:hint="eastAsia"/>
                <w:szCs w:val="21"/>
              </w:rPr>
              <w:t>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tcBorders>
              <w:top w:val="single" w:color="000000" w:sz="4" w:space="0"/>
              <w:left w:val="single" w:color="000000" w:sz="4" w:space="0"/>
              <w:bottom w:val="single" w:color="000000" w:sz="4" w:space="0"/>
            </w:tcBorders>
            <w:vAlign w:val="center"/>
          </w:tcPr>
          <w:p>
            <w:pPr>
              <w:pStyle w:val="45"/>
              <w:spacing w:line="300" w:lineRule="exact"/>
              <w:jc w:val="center"/>
              <w:rPr>
                <w:szCs w:val="21"/>
              </w:rPr>
            </w:pPr>
            <w:r>
              <w:rPr>
                <w:szCs w:val="21"/>
              </w:rPr>
              <w:t>8</w:t>
            </w:r>
          </w:p>
        </w:tc>
        <w:tc>
          <w:tcPr>
            <w:tcW w:w="575" w:type="pct"/>
            <w:vMerge w:val="continue"/>
            <w:vAlign w:val="center"/>
          </w:tcPr>
          <w:p>
            <w:pPr>
              <w:pStyle w:val="45"/>
              <w:spacing w:line="300" w:lineRule="exact"/>
              <w:jc w:val="center"/>
              <w:rPr>
                <w:szCs w:val="21"/>
              </w:rPr>
            </w:pPr>
          </w:p>
        </w:tc>
        <w:tc>
          <w:tcPr>
            <w:tcW w:w="1226" w:type="pct"/>
            <w:tcBorders>
              <w:top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完成农村环境整治的建制村比例</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约束性</w:t>
            </w:r>
          </w:p>
        </w:tc>
        <w:tc>
          <w:tcPr>
            <w:tcW w:w="709"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100%</w:t>
            </w:r>
          </w:p>
        </w:tc>
        <w:tc>
          <w:tcPr>
            <w:tcW w:w="770"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100%</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szCs w:val="21"/>
              </w:rPr>
              <w:t>区</w:t>
            </w:r>
            <w:r>
              <w:rPr>
                <w:rFonts w:hint="eastAsia"/>
                <w:szCs w:val="21"/>
              </w:rPr>
              <w:t>农业农村委、区生态环境局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8" w:type="pct"/>
            <w:tcBorders>
              <w:top w:val="single" w:color="000000" w:sz="4" w:space="0"/>
              <w:left w:val="single" w:color="000000" w:sz="4" w:space="0"/>
              <w:bottom w:val="single" w:color="000000" w:sz="4" w:space="0"/>
            </w:tcBorders>
            <w:vAlign w:val="center"/>
          </w:tcPr>
          <w:p>
            <w:pPr>
              <w:pStyle w:val="45"/>
              <w:spacing w:line="300" w:lineRule="exact"/>
              <w:jc w:val="center"/>
              <w:rPr>
                <w:szCs w:val="21"/>
              </w:rPr>
            </w:pPr>
            <w:r>
              <w:rPr>
                <w:szCs w:val="21"/>
              </w:rPr>
              <w:t>9</w:t>
            </w:r>
          </w:p>
        </w:tc>
        <w:tc>
          <w:tcPr>
            <w:tcW w:w="575" w:type="pct"/>
            <w:vMerge w:val="continue"/>
            <w:tcBorders>
              <w:bottom w:val="single" w:color="000000" w:sz="4" w:space="0"/>
            </w:tcBorders>
            <w:vAlign w:val="center"/>
          </w:tcPr>
          <w:p>
            <w:pPr>
              <w:pStyle w:val="45"/>
              <w:spacing w:line="300" w:lineRule="exact"/>
              <w:jc w:val="center"/>
              <w:rPr>
                <w:szCs w:val="21"/>
              </w:rPr>
            </w:pPr>
          </w:p>
        </w:tc>
        <w:tc>
          <w:tcPr>
            <w:tcW w:w="1226" w:type="pct"/>
            <w:tcBorders>
              <w:top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农村生活污水治理率</w:t>
            </w:r>
          </w:p>
        </w:tc>
        <w:tc>
          <w:tcPr>
            <w:tcW w:w="551"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约束性</w:t>
            </w:r>
          </w:p>
        </w:tc>
        <w:tc>
          <w:tcPr>
            <w:tcW w:w="709"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szCs w:val="21"/>
              </w:rPr>
              <w:t>38.52%</w:t>
            </w:r>
          </w:p>
        </w:tc>
        <w:tc>
          <w:tcPr>
            <w:tcW w:w="770"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稳步提升</w:t>
            </w:r>
          </w:p>
        </w:tc>
        <w:tc>
          <w:tcPr>
            <w:tcW w:w="891" w:type="pct"/>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szCs w:val="21"/>
              </w:rPr>
            </w:pPr>
            <w:r>
              <w:rPr>
                <w:rFonts w:hint="eastAsia"/>
                <w:szCs w:val="21"/>
              </w:rPr>
              <w:t>区生态环境局</w:t>
            </w:r>
          </w:p>
        </w:tc>
      </w:tr>
    </w:tbl>
    <w:p/>
    <w:p>
      <w:pPr>
        <w:pStyle w:val="2"/>
        <w:rPr>
          <w:lang w:val="zh-CN"/>
        </w:rPr>
      </w:pPr>
      <w:bookmarkStart w:id="96" w:name="_Toc84695701"/>
      <w:bookmarkStart w:id="97" w:name="_Toc73027390"/>
      <w:bookmarkStart w:id="98" w:name="_Toc84695476"/>
      <w:bookmarkStart w:id="99" w:name="_Toc84695749"/>
      <w:bookmarkStart w:id="100" w:name="_Toc84695818"/>
      <w:bookmarkStart w:id="101" w:name="_Toc85018511"/>
      <w:r>
        <w:rPr>
          <w:rFonts w:hint="eastAsia"/>
        </w:rPr>
        <w:t>第三章 主要</w:t>
      </w:r>
      <w:r>
        <w:rPr>
          <w:rFonts w:hint="eastAsia"/>
          <w:lang w:val="zh-CN"/>
        </w:rPr>
        <w:t>任务</w:t>
      </w:r>
      <w:bookmarkEnd w:id="96"/>
      <w:bookmarkEnd w:id="97"/>
      <w:bookmarkEnd w:id="98"/>
      <w:bookmarkEnd w:id="99"/>
      <w:bookmarkEnd w:id="100"/>
      <w:bookmarkEnd w:id="101"/>
    </w:p>
    <w:p>
      <w:pPr>
        <w:pStyle w:val="3"/>
        <w:ind w:firstLine="640"/>
      </w:pPr>
      <w:bookmarkStart w:id="102" w:name="_Toc73027391"/>
      <w:bookmarkStart w:id="103" w:name="_Toc85018512"/>
      <w:bookmarkStart w:id="104" w:name="_Toc84695819"/>
      <w:bookmarkStart w:id="105" w:name="_Toc84695477"/>
      <w:bookmarkStart w:id="106" w:name="_Toc84695702"/>
      <w:bookmarkStart w:id="107" w:name="_Toc84695750"/>
      <w:r>
        <w:rPr>
          <w:rFonts w:hint="eastAsia"/>
          <w:lang w:val="zh-CN"/>
        </w:rPr>
        <w:t>（一）加强土壤</w:t>
      </w:r>
      <w:bookmarkEnd w:id="102"/>
      <w:r>
        <w:rPr>
          <w:rFonts w:hint="eastAsia"/>
        </w:rPr>
        <w:t>生态环境保护与污染风险管控</w:t>
      </w:r>
      <w:bookmarkEnd w:id="103"/>
      <w:bookmarkEnd w:id="104"/>
      <w:bookmarkEnd w:id="105"/>
      <w:bookmarkEnd w:id="106"/>
      <w:bookmarkEnd w:id="107"/>
    </w:p>
    <w:p>
      <w:pPr>
        <w:pStyle w:val="4"/>
        <w:ind w:firstLine="643"/>
      </w:pPr>
      <w:bookmarkStart w:id="108" w:name="_Toc85018513"/>
      <w:bookmarkStart w:id="109" w:name="_Toc84695703"/>
      <w:bookmarkStart w:id="110" w:name="_Toc84695478"/>
      <w:bookmarkStart w:id="111" w:name="_Toc84695751"/>
      <w:r>
        <w:rPr>
          <w:rFonts w:hint="eastAsia"/>
        </w:rPr>
        <w:t>1</w:t>
      </w:r>
      <w:r>
        <w:t>.</w:t>
      </w:r>
      <w:r>
        <w:rPr>
          <w:rFonts w:hint="eastAsia"/>
        </w:rPr>
        <w:t>源头防控土壤污染</w:t>
      </w:r>
      <w:bookmarkEnd w:id="108"/>
      <w:bookmarkEnd w:id="109"/>
      <w:bookmarkEnd w:id="110"/>
      <w:bookmarkEnd w:id="111"/>
    </w:p>
    <w:p>
      <w:pPr>
        <w:ind w:firstLine="643" w:firstLineChars="200"/>
      </w:pPr>
      <w:r>
        <w:rPr>
          <w:rFonts w:hint="eastAsia"/>
          <w:b/>
        </w:rPr>
        <w:t>完善耕地土壤污染源头防控体系</w:t>
      </w:r>
      <w:r>
        <w:rPr>
          <w:rFonts w:hint="eastAsia"/>
        </w:rPr>
        <w:t>。加强耕地污染源头预防，以强化农业农村面源污染防治为核心，以单位面积化肥农药使用量高的花椒、果树、蔬菜等作物和新型经营主体为重点，继续深入推进化肥农药使用减量行动，推广测土配方施肥技术，加强畜禽养殖管控和污染治理，有序推进农村污水处理设施建设和农村生活垃圾治理工作，防止土壤污染。以保障农产品质量安全为核心，以土壤污染详查结果为依据，继续开展农用地污染与农产品质量协同监测与评价，查明土壤污染与食用农产品质量之间的关系，为开展污染农用地安全利用打下工作基础。</w:t>
      </w:r>
    </w:p>
    <w:p>
      <w:pPr>
        <w:ind w:firstLine="643" w:firstLineChars="200"/>
      </w:pPr>
      <w:r>
        <w:rPr>
          <w:rFonts w:hint="eastAsia"/>
          <w:b/>
        </w:rPr>
        <w:t>严控重点工矿企业污染</w:t>
      </w:r>
      <w:r>
        <w:rPr>
          <w:rFonts w:hint="eastAsia"/>
        </w:rPr>
        <w:t>。严格建设项目环境准入，落实“三线一单”生态环境分区管控要求，严控不符合土壤环境管控要求的项目落地。禁止在土壤环境优先保护区域内新建重金属、采矿选矿、皮革制品、石油煤炭、化工医药、铅蓄电池制造等可能影响土壤环境质量的项目，严格审批排放铅、汞、镉、铬、砷、铜、锌、镍等重金属和持久性有机污染物的建设项目，对重点污染物排放的建设项目，在开展环境影响评价时，要增加对土壤环境影响的评价内容，并提出相应防范土壤污染的具体措施。对已存在重污染企业需进行提标改造或技术革新，采取新技术设施、新工艺减少污染物排放量。</w:t>
      </w:r>
    </w:p>
    <w:p>
      <w:pPr>
        <w:ind w:firstLine="643" w:firstLineChars="200"/>
      </w:pPr>
      <w:r>
        <w:rPr>
          <w:rFonts w:hint="eastAsia"/>
          <w:b/>
        </w:rPr>
        <w:t>加强土壤污染状况的动态监测</w:t>
      </w:r>
      <w:r>
        <w:rPr>
          <w:rFonts w:hint="eastAsia"/>
        </w:rPr>
        <w:t>。明确土壤污染状况的动态监测的方式、内容、范围、时间周期，实施动态监测与监管。按照统一规划、整合优化的原则，分别以农用地和污染地块为对象，科学设置土壤环境质量监测基础点位、风险点位、背景点位。持续完善全区耕地土壤监测点位建设，加强基层土壤监测能力建设，分区域制定能力建设计划，统筹安排专项补助资金，用于基层监测能力建设和运维人员保障，健全基层数据库。</w:t>
      </w:r>
    </w:p>
    <w:p>
      <w:pPr>
        <w:pStyle w:val="4"/>
        <w:ind w:firstLine="643"/>
      </w:pPr>
      <w:bookmarkStart w:id="112" w:name="_Toc84695704"/>
      <w:bookmarkStart w:id="113" w:name="_Toc84695479"/>
      <w:bookmarkStart w:id="114" w:name="_Toc84695752"/>
      <w:bookmarkStart w:id="115" w:name="_Toc85018514"/>
      <w:r>
        <w:t>2</w:t>
      </w:r>
      <w:r>
        <w:rPr>
          <w:rFonts w:hint="eastAsia"/>
        </w:rPr>
        <w:t>.全面实施农用地土壤分类管控</w:t>
      </w:r>
      <w:bookmarkEnd w:id="112"/>
      <w:bookmarkEnd w:id="113"/>
      <w:bookmarkEnd w:id="114"/>
      <w:bookmarkEnd w:id="115"/>
    </w:p>
    <w:p>
      <w:pPr>
        <w:ind w:firstLine="640" w:firstLineChars="200"/>
      </w:pPr>
      <w:r>
        <w:rPr>
          <w:rFonts w:hint="eastAsia"/>
        </w:rPr>
        <w:t>2</w:t>
      </w:r>
      <w:r>
        <w:t>.1</w:t>
      </w:r>
      <w:r>
        <w:rPr>
          <w:rFonts w:hint="eastAsia"/>
        </w:rPr>
        <w:t>巩固耕地分类管理体系。</w:t>
      </w:r>
    </w:p>
    <w:p>
      <w:pPr>
        <w:ind w:firstLine="640" w:firstLineChars="200"/>
      </w:pPr>
      <w:r>
        <w:rPr>
          <w:rFonts w:hint="eastAsia"/>
        </w:rPr>
        <w:t>贯彻落实《江津区耕地土壤环境类别划分》（津农业农村委发〔2019〕61号），结合《江津区2021年耕地土壤污染防治工作方案》（津农业农村委函〔2021〕16号）文件要求，江津区将继续对受污染耕地进行分类治理。根据第三次全国国土调查数据成果，结合全区土地利用现状变更及耕地土壤环境质量变化等情况，开展耕地土壤环境质量类别动态调整，持续加强农用地分类管理。强化已采取安全利用措施耕地和农产品的协同监测，及时掌握耕地土壤污染物的成分、含量，明确污染物在农作物中的残留情况，分析污染物对农产品质量的影响，合理评估耕地土壤环境质量状况。</w:t>
      </w:r>
    </w:p>
    <w:p>
      <w:pPr>
        <w:ind w:firstLine="643" w:firstLineChars="200"/>
      </w:pPr>
      <w:r>
        <w:rPr>
          <w:rFonts w:hint="eastAsia"/>
          <w:b/>
        </w:rPr>
        <w:t>加强优先保护类耕地监管</w:t>
      </w:r>
      <w:r>
        <w:rPr>
          <w:rFonts w:hint="eastAsia"/>
        </w:rPr>
        <w:t>。优化永久基本农田集中区域，将符合条件的优先保护类耕地划定为永久基本农田，综合采取占补数量和质量平衡、高标准农田建设、周边污染企业搬迁整治等措施，实行高标准建设和更严格的保护制度。严格控制在优先保护区域周边新建可能影响土壤环境质量的项目，继续加强优先保护类农用地土壤环境质量监管，确保“十四五”期间，优先保护类耕地面积不减少、土壤环境质量不下降。加强高标准农田建设，以黄庄现代粮油科技示范园和油溪、珞璜等蔬菜水果基地等区域为高标准农田重点建设区域，实施高标准建设、高标准管护、高标准利用，促进现代农业与高标准农田建设协同发展。</w:t>
      </w:r>
    </w:p>
    <w:p>
      <w:pPr>
        <w:ind w:firstLine="643" w:firstLineChars="200"/>
      </w:pPr>
      <w:r>
        <w:rPr>
          <w:rFonts w:hint="eastAsia"/>
          <w:b/>
        </w:rPr>
        <w:t>推进农用地安全利用</w:t>
      </w:r>
      <w:r>
        <w:rPr>
          <w:rFonts w:hint="eastAsia"/>
        </w:rPr>
        <w:t>。严格落实《江津区耕地土壤环境质量类别划分》，推进受污染耕地安全利用和综合防控，探索农用地土壤污染防治“一地一策”，针对受污染耕地，补足技术措施，在逐步建立起安全利用技术模式的基础上，分步骤推进，逐步提升受污染耕地安全利用水平。根据耕地土壤环境质量监测结果，建立农作物种植负面清单，引导农户轮作休耕、种植非食用农产品等方式确保受污染耕地的安全利用。精准开展农用地土壤污染源头管控和安全利用，实施污染耕地安全利用示范工程。对已污染的耕地，开展土壤环境监测和农产品质量检测，实施分类管理，确保耕地安全利用。落实《江津区2020年农用地安全利用工作方案》（津农业农村委函〔2020〕72号），对安全利用类耕地主要推广“土壤酸化改良+低吸附水稻种子”技术措施。到2025年，受污染耕地安全利用率达到9</w:t>
      </w:r>
      <w:r>
        <w:t>5</w:t>
      </w:r>
      <w:r>
        <w:rPr>
          <w:rFonts w:hint="eastAsia"/>
        </w:rPr>
        <w:t>%以上。</w:t>
      </w:r>
    </w:p>
    <w:p>
      <w:pPr>
        <w:ind w:firstLine="643" w:firstLineChars="200"/>
      </w:pPr>
      <w:r>
        <w:rPr>
          <w:rFonts w:hint="eastAsia"/>
          <w:b/>
        </w:rPr>
        <w:t>加强严格管控类耕地的用途管理</w:t>
      </w:r>
      <w:r>
        <w:rPr>
          <w:rFonts w:hint="eastAsia"/>
        </w:rPr>
        <w:t>。继续加强对石蟆镇、朱杨镇等2个镇严格管控类耕地的管理，对已划定农产品禁止生产区域，严禁种植食用农产品。开展种植结构调整，探索建立农产品种植负面清单，在受污染耕地安全利用区实行种植结构调整，主要采取实施低吸附水稻、土壤钝化技术、叶面阻控技术等进行治理修复。</w:t>
      </w:r>
    </w:p>
    <w:p>
      <w:pPr>
        <w:ind w:firstLine="640" w:firstLineChars="200"/>
      </w:pPr>
      <w:r>
        <w:t>2.2</w:t>
      </w:r>
      <w:r>
        <w:rPr>
          <w:rFonts w:hint="eastAsia"/>
        </w:rPr>
        <w:t>巩固提升污染农用地治理与修复</w:t>
      </w:r>
    </w:p>
    <w:p>
      <w:pPr>
        <w:ind w:firstLine="640" w:firstLineChars="200"/>
      </w:pPr>
      <w:r>
        <w:rPr>
          <w:rFonts w:hint="eastAsia"/>
        </w:rPr>
        <w:t>以先锋镇保坪村农用地土壤污染治理修复技术应用试点为重点，巩固土壤重金属污染加密监测与修复。以油溪镇、先锋镇、西湖镇的农产品产地土壤重金属中度风险区域和白沙镇的农产品产地土壤重金属高风险区域为重点，巩固已完成重金属污染农田土壤的修复，及时总结经验，应用到未治理修复区域上。加强耕地退化治理，以西湖、油溪、李市等土壤酸化较为严重的区域，巩固已建设酸化土壤治理示范片区，继续推广以施用土壤调理剂和钙镁磷肥为主的酸化土壤治理技术。</w:t>
      </w:r>
    </w:p>
    <w:p>
      <w:pPr>
        <w:ind w:firstLine="640" w:firstLineChars="200"/>
      </w:pPr>
      <w:r>
        <w:t>2.3强化富硒农用地土壤环境管理</w:t>
      </w:r>
    </w:p>
    <w:p>
      <w:pPr>
        <w:ind w:firstLine="640" w:firstLineChars="200"/>
      </w:pPr>
      <w:r>
        <w:rPr>
          <w:rFonts w:hint="eastAsia"/>
        </w:rPr>
        <w:t>坚持富硒产业引领，围绕富硒粮油、花椒、茶叶、蔬菜、果品、畜禽、水产等7大产业，积极推进标准化、规模化、集约化生产，加快把江津建成富硒粮油基地和</w:t>
      </w:r>
      <w:r>
        <w:rPr>
          <w:rFonts w:cs="Times New Roman"/>
          <w:szCs w:val="32"/>
        </w:rPr>
        <w:t>成渝地区高品质的</w:t>
      </w:r>
      <w:r>
        <w:rPr>
          <w:rFonts w:hint="eastAsia" w:cs="Times New Roman"/>
          <w:szCs w:val="32"/>
        </w:rPr>
        <w:t>“</w:t>
      </w:r>
      <w:r>
        <w:rPr>
          <w:rFonts w:hint="eastAsia"/>
        </w:rPr>
        <w:t>菜蓝子</w:t>
      </w:r>
      <w:r>
        <w:rPr>
          <w:rFonts w:hint="eastAsia" w:cs="Times New Roman"/>
          <w:szCs w:val="32"/>
        </w:rPr>
        <w:t>”</w:t>
      </w:r>
      <w:r>
        <w:rPr>
          <w:rFonts w:hint="eastAsia"/>
        </w:rPr>
        <w:t>。依托白沙、德感工业园、先锋食品特色农业园，开展富硒农产品研发、加工和包装，打造富硒农产品加工产业集群。强化富硒产品质量监管，健全农产品质量安全追溯体系，严格富硒产品认证，实施富硒产品品质提升行动。拓展营销渠道，健全“电商+旗舰店”线上线下立体营销服务架构，打造国际化硒产品贸易中心。推进富硒农业与乡村旅游、文化产业、健康养老等有机融合，不断提升特色农业附加值。加强富硒产业的对外合作和宣传，实现物质资本和人力资本的合作共享。</w:t>
      </w:r>
    </w:p>
    <w:p>
      <w:pPr>
        <w:pStyle w:val="4"/>
        <w:ind w:firstLine="643"/>
      </w:pPr>
      <w:bookmarkStart w:id="116" w:name="_Toc85018515"/>
      <w:bookmarkStart w:id="117" w:name="_Toc84695705"/>
      <w:bookmarkStart w:id="118" w:name="_Toc84695480"/>
      <w:bookmarkStart w:id="119" w:name="_Toc84695753"/>
      <w:r>
        <w:t>3</w:t>
      </w:r>
      <w:r>
        <w:rPr>
          <w:rFonts w:hint="eastAsia" w:cs="Times New Roman"/>
        </w:rPr>
        <w:t>.</w:t>
      </w:r>
      <w:r>
        <w:rPr>
          <w:rFonts w:hint="eastAsia"/>
        </w:rPr>
        <w:t>严格管控和修复受污染建设用地</w:t>
      </w:r>
      <w:bookmarkEnd w:id="116"/>
      <w:bookmarkEnd w:id="117"/>
      <w:bookmarkEnd w:id="118"/>
      <w:bookmarkEnd w:id="119"/>
    </w:p>
    <w:p>
      <w:pPr>
        <w:ind w:firstLine="643" w:firstLineChars="200"/>
      </w:pPr>
      <w:r>
        <w:rPr>
          <w:rFonts w:hint="eastAsia"/>
          <w:b/>
        </w:rPr>
        <w:t>加强管控和修复污染防治能力建设</w:t>
      </w:r>
      <w:r>
        <w:rPr>
          <w:rFonts w:hint="eastAsia"/>
        </w:rPr>
        <w:t>。</w:t>
      </w:r>
      <w:r>
        <w:t>配合市级持续推进疑似污染地块排查、筛查工作，动态更新全区土壤环境质量状况数据库和项目库。</w:t>
      </w:r>
      <w:r>
        <w:rPr>
          <w:rFonts w:hint="eastAsia"/>
        </w:rPr>
        <w:t>以《重庆市江津区土壤污染重点监管单位名录》为重点，落实土壤污染重点监管单位主体责任，建立土壤污染隐患排查制度，加强拆除活动土壤污染防治，开展用途变更或土地使用权收回、转让经营用地的土壤污染状况调查及调查报告报送工作。健全建设用地在开发利用联合监管体系，有序开展污染地块风险管控和修复工作。以重庆三五三三印染服装总厂有限公司（原址）为重点，</w:t>
      </w:r>
      <w:r>
        <w:rPr>
          <w:szCs w:val="32"/>
        </w:rPr>
        <w:t>强化污染地块风险管控，加强对</w:t>
      </w:r>
      <w:r>
        <w:rPr>
          <w:rFonts w:hint="eastAsia"/>
          <w:szCs w:val="32"/>
        </w:rPr>
        <w:t>污染地块</w:t>
      </w:r>
      <w:r>
        <w:rPr>
          <w:szCs w:val="32"/>
        </w:rPr>
        <w:t>再开发利用土壤环境状况调查、风险评估</w:t>
      </w:r>
      <w:r>
        <w:rPr>
          <w:rFonts w:hint="eastAsia"/>
          <w:szCs w:val="32"/>
        </w:rPr>
        <w:t>，制定并实施</w:t>
      </w:r>
      <w:r>
        <w:rPr>
          <w:szCs w:val="32"/>
        </w:rPr>
        <w:t>污染地块治理修复</w:t>
      </w:r>
      <w:r>
        <w:rPr>
          <w:rFonts w:hint="eastAsia"/>
          <w:szCs w:val="32"/>
        </w:rPr>
        <w:t>方案</w:t>
      </w:r>
      <w:r>
        <w:rPr>
          <w:szCs w:val="32"/>
        </w:rPr>
        <w:t>。</w:t>
      </w:r>
    </w:p>
    <w:p>
      <w:pPr>
        <w:ind w:firstLine="643" w:firstLineChars="200"/>
      </w:pPr>
      <w:r>
        <w:rPr>
          <w:rFonts w:hint="eastAsia"/>
          <w:b/>
        </w:rPr>
        <w:t>强化重点区域土壤污染综合防控</w:t>
      </w:r>
      <w:r>
        <w:rPr>
          <w:rFonts w:hint="eastAsia"/>
        </w:rPr>
        <w:t>。以土壤污染问题突出区为重点，实施铅蓄电池制造、涂料制造、化工、危险废物治理等重点行业污染源头治理，实施综合防控。针对化学原料及化学制品制造业等土壤环境污染重点监管行业建立高风险地块清单，严格防控高风险地块环境风险，按照“发现一块、管控一块”、“开发一块、治理一块”的原则，实施污染地块修复示范工程，防止新增土壤污染。</w:t>
      </w:r>
    </w:p>
    <w:p>
      <w:pPr>
        <w:ind w:firstLine="643" w:firstLineChars="200"/>
      </w:pPr>
      <w:r>
        <w:rPr>
          <w:rFonts w:hint="eastAsia"/>
          <w:b/>
        </w:rPr>
        <w:t>加强对暂未开发利用污染地块的环境管理</w:t>
      </w:r>
      <w:r>
        <w:rPr>
          <w:rFonts w:hint="eastAsia"/>
        </w:rPr>
        <w:t>。对目前未进一步明确污染状况及环境风险且暂不开发利用的污染地块，督促土壤污染责任人或者土地使用权人按照相关要求采取风险管控措施。经风险评估确认需要实施风险管控和修复的污染地块，应列入建设用地土壤风险管控和修复名录（以下简称“名录”）。对名录中需要实施修复的拟开发利用的污染地块，土地使用权人或土壤污染责任人应当结合国土空间规划编制风险管控或修复方案，逐步制定相应的土壤污染治理与修复方案并报区政府批准后组织实施，开展土壤污染治理与修复；对暂不开发利用的污染地块，由区人民政府组织划定管控区域，设立标识、发布公告，组织开展土壤、地表水、地下水和空气监测。</w:t>
      </w:r>
    </w:p>
    <w:p>
      <w:pPr>
        <w:pStyle w:val="4"/>
        <w:ind w:firstLine="643"/>
      </w:pPr>
      <w:bookmarkStart w:id="120" w:name="_Toc84695754"/>
      <w:bookmarkStart w:id="121" w:name="_Toc84695706"/>
      <w:bookmarkStart w:id="122" w:name="_Toc85018516"/>
      <w:bookmarkStart w:id="123" w:name="_Toc84695481"/>
      <w:r>
        <w:rPr>
          <w:rFonts w:hint="eastAsia"/>
        </w:rPr>
        <w:t>4</w:t>
      </w:r>
      <w:r>
        <w:t>.</w:t>
      </w:r>
      <w:r>
        <w:rPr>
          <w:rFonts w:hint="eastAsia"/>
        </w:rPr>
        <w:t>加强土壤污染修复过程的监管</w:t>
      </w:r>
      <w:bookmarkEnd w:id="120"/>
      <w:bookmarkEnd w:id="121"/>
      <w:bookmarkEnd w:id="122"/>
      <w:bookmarkEnd w:id="123"/>
    </w:p>
    <w:p>
      <w:pPr>
        <w:ind w:firstLine="640" w:firstLineChars="200"/>
      </w:pPr>
      <w:r>
        <w:rPr>
          <w:rFonts w:hint="eastAsia"/>
        </w:rPr>
        <w:t>江津区生态环境局</w:t>
      </w:r>
      <w:r>
        <w:rPr>
          <w:rFonts w:hint="eastAsia"/>
          <w:bCs/>
          <w:szCs w:val="32"/>
        </w:rPr>
        <w:t>会同区规划自然资源、区住房城乡建设、区城市管理等部门，严格执法，确保治理修复工程按备案的修复方案实施。落实污染土壤转移计划报备制度，污染土壤终端处置单位接收污染土壤的转移联单制度及报备制度，密切跟踪异位修复的污染土壤去向及处置效果，经鉴别属于危险废物的，应执行危险废物转移联单制度。</w:t>
      </w:r>
      <w:r>
        <w:rPr>
          <w:rFonts w:hint="eastAsia"/>
        </w:rPr>
        <w:t>以德感工业园区、珞璜工业园区、白沙工业园区、双福工业园区等重点区域为重点，以化工、医药、机械、能源、金属冶炼及加工、纺织印染、造纸、玻璃、危险废物处置等行业为重点，以重庆西南制药二厂、重庆三峡油漆股份有限公司、重庆三五三三印染服装总厂有限公司等工业企业为重点，</w:t>
      </w:r>
      <w:r>
        <w:rPr>
          <w:szCs w:val="32"/>
        </w:rPr>
        <w:t>定期对重点监管企业和工业园区周边土壤开展监测，监测结果作为环境执法和风险预警的依据</w:t>
      </w:r>
      <w:r>
        <w:rPr>
          <w:rFonts w:hint="eastAsia"/>
          <w:szCs w:val="32"/>
        </w:rPr>
        <w:t>，实行</w:t>
      </w:r>
      <w:r>
        <w:rPr>
          <w:rFonts w:hint="eastAsia"/>
        </w:rPr>
        <w:t>动态管理，并及时向社会公布。</w:t>
      </w:r>
    </w:p>
    <w:p>
      <w:pPr>
        <w:pStyle w:val="3"/>
        <w:ind w:firstLine="640"/>
      </w:pPr>
      <w:bookmarkStart w:id="124" w:name="_Toc85018517"/>
      <w:bookmarkStart w:id="125" w:name="_Toc84695821"/>
      <w:bookmarkStart w:id="126" w:name="_Toc84695760"/>
      <w:bookmarkStart w:id="127" w:name="_Toc84695487"/>
      <w:bookmarkStart w:id="128" w:name="_Toc84695712"/>
      <w:r>
        <w:rPr>
          <w:rFonts w:hint="eastAsia"/>
        </w:rPr>
        <w:t>（二）改善农业农村生态环境</w:t>
      </w:r>
      <w:bookmarkEnd w:id="124"/>
      <w:bookmarkEnd w:id="125"/>
      <w:bookmarkEnd w:id="126"/>
      <w:bookmarkEnd w:id="127"/>
      <w:bookmarkEnd w:id="128"/>
      <w:bookmarkStart w:id="129" w:name="_Toc66890113"/>
    </w:p>
    <w:p>
      <w:pPr>
        <w:pStyle w:val="4"/>
        <w:ind w:firstLine="640"/>
      </w:pPr>
      <w:bookmarkStart w:id="130" w:name="_Toc85018518"/>
      <w:bookmarkStart w:id="131" w:name="_Toc84695713"/>
      <w:bookmarkStart w:id="132" w:name="_Toc84695488"/>
      <w:bookmarkStart w:id="133" w:name="_Toc84695761"/>
      <w:r>
        <w:rPr>
          <w:rFonts w:hint="eastAsia"/>
          <w:b w:val="0"/>
          <w:bCs w:val="0"/>
        </w:rPr>
        <w:t>1.</w:t>
      </w:r>
      <w:r>
        <w:rPr>
          <w:rFonts w:hint="eastAsia"/>
        </w:rPr>
        <w:t>加强农村饮用水水源保护</w:t>
      </w:r>
      <w:bookmarkEnd w:id="130"/>
      <w:bookmarkEnd w:id="131"/>
      <w:bookmarkEnd w:id="132"/>
      <w:bookmarkEnd w:id="133"/>
    </w:p>
    <w:p>
      <w:pPr>
        <w:ind w:firstLine="643" w:firstLineChars="200"/>
      </w:pPr>
      <w:r>
        <w:rPr>
          <w:rFonts w:hint="eastAsia"/>
          <w:b/>
        </w:rPr>
        <w:t>加快农村饮用水水源调查评估</w:t>
      </w:r>
      <w:r>
        <w:rPr>
          <w:rFonts w:hint="eastAsia"/>
        </w:rPr>
        <w:t>。严格落实《饮用水水源保护区划分技术规范》、《饮用水水源保护区标志技术规范》、《饮用水源地整治标准》等文件要求，以蔡家镇清溪沟水源地、先锋镇秀庄村水源地等2个“万人千吨”农村饮用水水源为重点，开展对农村饮用水水源环境状况调查评估。对存在环境问题的水源地制定整治方案，分级分类、稳步推进水源保护区环境整治，及时开展整治消除环境风险隐患。</w:t>
      </w:r>
    </w:p>
    <w:p>
      <w:pPr>
        <w:ind w:firstLine="643" w:firstLineChars="200"/>
      </w:pPr>
      <w:r>
        <w:rPr>
          <w:rFonts w:hint="eastAsia"/>
          <w:b/>
        </w:rPr>
        <w:t>加强农村饮用水水质监测</w:t>
      </w:r>
      <w:r>
        <w:rPr>
          <w:rFonts w:hint="eastAsia"/>
        </w:rPr>
        <w:t>。每季度开展蔡家镇清溪沟水源地、先锋镇秀庄村水源地等2个“万人千吨”农村饮用水水源水质监测，认真分析监测数据，综合研判水源地水质安全状况。实施从源头到水龙头的全过程控制，落实水源保护、工程建设、水质监测检测三同时制度。落实《关于加强农村饮水安全工程水质检测能力建设的指导意见》文件要求，完善水源地对应供水工程基础设施建设，提升供水工程水质检测设施装备水平和监测能力，满足农村饮水工程的常规水质检测需求。</w:t>
      </w:r>
    </w:p>
    <w:p>
      <w:pPr>
        <w:ind w:firstLine="643" w:firstLineChars="200"/>
      </w:pPr>
      <w:r>
        <w:rPr>
          <w:rFonts w:hint="eastAsia"/>
          <w:b/>
        </w:rPr>
        <w:t>开展农村饮用水水源环境风险排查整治</w:t>
      </w:r>
      <w:r>
        <w:rPr>
          <w:rFonts w:hint="eastAsia"/>
        </w:rPr>
        <w:t>。以油溪镇三圣社区水源地、吴滩镇平安村水源地等5</w:t>
      </w:r>
      <w:r>
        <w:t>4</w:t>
      </w:r>
      <w:r>
        <w:rPr>
          <w:rFonts w:hint="eastAsia"/>
        </w:rPr>
        <w:t>个农村集中式饮用水水源保护区为重点，持续开展水源地环境执法检查，全面排查饮用水水源保护区内是否存在排污口、违法建设项目等环境违法行为。对水质不达标的水源地，采取水源更换、集中供水、污染治理等措施，确保农村饮水安全。</w:t>
      </w:r>
    </w:p>
    <w:p>
      <w:pPr>
        <w:ind w:firstLine="643" w:firstLineChars="200"/>
      </w:pPr>
      <w:r>
        <w:rPr>
          <w:rFonts w:hint="eastAsia" w:cs="Times New Roman"/>
          <w:b/>
        </w:rPr>
        <w:t>深化分散式农村生活饮用水水源保护</w:t>
      </w:r>
      <w:r>
        <w:rPr>
          <w:rFonts w:hint="eastAsia" w:cs="Times New Roman"/>
        </w:rPr>
        <w:t>。加强调查评估，摸清分散式饮用水水源基础环境状况。加大污染源治理力度，稳步改善分散式饮用水水源水质状况，针对调查评估工作中发现的问题，制定相应的污染防治对策，重点做好饮用水水源保护范围及其周边的工业及生活污染治理、农业源污染防治和水生态修复等工作，切实削减污染物产生总量，禁止有毒有害物质进入水源水体。取消不符合国家生活饮用水水源水质规定的相关水源地，采取取缔不达标饮用水源地、山坪塘整治、实施河库联通工程等措施优化整合水源，进一步提升农村供水水质。逐步开展分散式农村饮用水水源水质例行监测。</w:t>
      </w:r>
    </w:p>
    <w:p>
      <w:pPr>
        <w:pStyle w:val="4"/>
        <w:ind w:firstLine="643"/>
      </w:pPr>
      <w:bookmarkStart w:id="134" w:name="_Toc84695762"/>
      <w:bookmarkStart w:id="135" w:name="_Toc85018519"/>
      <w:bookmarkStart w:id="136" w:name="_Toc84695714"/>
      <w:bookmarkStart w:id="137" w:name="_Toc84695489"/>
      <w:r>
        <w:t>2.</w:t>
      </w:r>
      <w:r>
        <w:rPr>
          <w:rFonts w:hint="eastAsia"/>
        </w:rPr>
        <w:t>防范农业生产污染</w:t>
      </w:r>
      <w:bookmarkEnd w:id="134"/>
      <w:bookmarkEnd w:id="135"/>
      <w:bookmarkEnd w:id="136"/>
      <w:bookmarkEnd w:id="137"/>
    </w:p>
    <w:p>
      <w:pPr>
        <w:ind w:firstLine="643" w:firstLineChars="200"/>
      </w:pPr>
      <w:r>
        <w:rPr>
          <w:rFonts w:hint="eastAsia"/>
          <w:b/>
        </w:rPr>
        <w:t>防治养殖业环境污染</w:t>
      </w:r>
      <w:r>
        <w:rPr>
          <w:rFonts w:hint="eastAsia"/>
        </w:rPr>
        <w:t>。严格落实《江津区“十四五”畜禽养殖污染防治规划》。严格畜禽养殖“三区”管理规定，优化调整畜畜禽养殖布局，完善规模化畜禽养殖场污染治理设施建设，实施畜禽粪污资源化利用，</w:t>
      </w:r>
      <w:r>
        <w:rPr>
          <w:szCs w:val="32"/>
        </w:rPr>
        <w:t>落实行业主管责任、乡镇（街道）属地管理责任、养殖业主主体责任，加强畜禽养殖粪污资源化利用考核。</w:t>
      </w:r>
      <w:r>
        <w:rPr>
          <w:rFonts w:hint="eastAsia"/>
        </w:rPr>
        <w:t>到2025年，规模养殖场粪污处理设施装备配套率达100%。</w:t>
      </w:r>
      <w:r>
        <w:rPr>
          <w:rFonts w:hint="eastAsia"/>
          <w:szCs w:val="32"/>
        </w:rPr>
        <w:t>优化水产养殖空间布局，完成禁止养殖区、限制养殖区和养殖区划定，以限养区、适养区内以规模以上（30亩及以上）水产养殖单位为治理重点，实施河库500米范围内规模化养殖池塘整治任务，因地制宜建设池塘尾水处理系统或底排污、鱼菜共生系统，实现尾水循环再利用或达标排放。继续推广水产健康养殖示范创建。</w:t>
      </w:r>
    </w:p>
    <w:p>
      <w:pPr>
        <w:ind w:firstLine="643" w:firstLineChars="200"/>
      </w:pPr>
      <w:r>
        <w:rPr>
          <w:rFonts w:hint="eastAsia"/>
          <w:b/>
        </w:rPr>
        <w:t>防治种植业环境污染</w:t>
      </w:r>
      <w:r>
        <w:rPr>
          <w:rFonts w:hint="eastAsia"/>
        </w:rPr>
        <w:t>。优化现代农业布局，加大种植业投入结构调整力度，开展耕地土壤改良、地力培肥试点和化肥减量试验示范建设。推进有机肥替代化肥行动，推进化肥减量，推广测土配方施肥技术、化肥深施技术、水肥一体化技术，集成推广“配方肥+秸秆还田”“配方肥+有机肥”“果—沼—畜”“配方肥+绿肥”模式等有机肥替代化肥模式。利用丘陵地区农田宜机化改造，推广氮肥深施、混施，控制种植业氨污染。到2025年，确保化肥利用率提高到40%以上，保持化肥使用量负增长。健全废弃农膜回收网络，打造废弃农膜回收工作示范点，到2025年，废弃农膜回收率力争达到90%以上。推进农作物秸秆综合利用，开展秸秆综合利用试点示范区，到2025年，农作物秸秆综合利用率稳定在90%以上。推进农药减量控害，深入开展农药减量增效行动，采用“控、替、精、统”技术路径，推进病虫害统防统治和绿色防控，确保农药利用稳定在40%以上，保持农药使用量负增长。</w:t>
      </w:r>
      <w:r>
        <w:rPr>
          <w:rFonts w:cs="Times New Roman"/>
          <w:szCs w:val="32"/>
        </w:rPr>
        <w:t>围</w:t>
      </w:r>
      <w:r>
        <w:rPr>
          <w:rFonts w:hint="eastAsia"/>
        </w:rPr>
        <w:t>绕粮、油、菜、茶、果等农作物开展农药减量化试点，加强农药安全使用监督检查，加大违规使用农药问题的查处力度。</w:t>
      </w:r>
    </w:p>
    <w:p>
      <w:pPr>
        <w:ind w:firstLine="643" w:firstLineChars="200"/>
      </w:pPr>
      <w:r>
        <w:rPr>
          <w:rFonts w:hint="eastAsia"/>
          <w:b/>
        </w:rPr>
        <w:t>强化农业面源污染治理监管</w:t>
      </w:r>
      <w:r>
        <w:rPr>
          <w:rFonts w:hint="eastAsia"/>
        </w:rPr>
        <w:t>。持续组织开展农业面源污染治理监督指导试点工作，评估农业面源污染对环境质量的影响程度，编制农业面源污染控制单元清单，推动优先控制单元农业面源污染治理。形成农业面源污染防治典型模式，建立农业面源污染调查监测体系，加强长期观测，探索制定农业面源污染防治绩效评估办法，逐步构建江津区农业面源污染环境监测“一张网”。</w:t>
      </w:r>
    </w:p>
    <w:p>
      <w:pPr>
        <w:pStyle w:val="4"/>
        <w:ind w:firstLine="643"/>
      </w:pPr>
      <w:bookmarkStart w:id="138" w:name="_Toc84695490"/>
      <w:bookmarkStart w:id="139" w:name="_Toc85018520"/>
      <w:bookmarkStart w:id="140" w:name="_Toc84695763"/>
      <w:bookmarkStart w:id="141" w:name="_Toc84695715"/>
      <w:r>
        <w:t>3.</w:t>
      </w:r>
      <w:r>
        <w:rPr>
          <w:rFonts w:hint="eastAsia"/>
        </w:rPr>
        <w:t>全面提升农村人居环境</w:t>
      </w:r>
      <w:bookmarkEnd w:id="138"/>
      <w:bookmarkEnd w:id="139"/>
      <w:bookmarkEnd w:id="140"/>
      <w:bookmarkEnd w:id="141"/>
    </w:p>
    <w:p>
      <w:pPr>
        <w:ind w:firstLine="643" w:firstLineChars="200"/>
      </w:pPr>
      <w:r>
        <w:rPr>
          <w:rFonts w:hint="eastAsia"/>
          <w:b/>
        </w:rPr>
        <w:t>治理农村生活污水</w:t>
      </w:r>
      <w:r>
        <w:rPr>
          <w:rFonts w:hint="eastAsia"/>
        </w:rPr>
        <w:t>。严格</w:t>
      </w:r>
      <w:r>
        <w:t>落实《</w:t>
      </w:r>
      <w:r>
        <w:rPr>
          <w:rFonts w:hint="eastAsia"/>
        </w:rPr>
        <w:t>江津</w:t>
      </w:r>
      <w:r>
        <w:t>区农村生活污水治理专项规划》，</w:t>
      </w:r>
      <w:r>
        <w:rPr>
          <w:rFonts w:hint="eastAsia"/>
        </w:rPr>
        <w:t>加快农村污水处理基础设施，完善配套管网建设，因地制宜推动污水处理服务范围向近郊周边农村延伸覆盖。完善农村污水收集处理长效运行管理机制，探索推广城乡一体化运维、第三方运维和村庄自行运维等方式。以农家乐、民宿等乡村旅游集中区域及常住人口200户以上或500人以上的农村人口集聚点为重点，采取分散和集中相结合的生活污水处理设施，加快推进农村生活污水综合治理。鼓励采用农村改厕、户用沼气、人工湿地、生物塘以及储粪还田等形式治理小型聚居点和散居农户分散污水。到2</w:t>
      </w:r>
      <w:r>
        <w:t>025</w:t>
      </w:r>
      <w:r>
        <w:rPr>
          <w:rFonts w:hint="eastAsia"/>
        </w:rPr>
        <w:t>年，农村生活污水治理率稳步提升。将农村污水处理设施纳入城乡统筹管理体系，实施专业化社会运行管理，加强农村生活污水处理设施管理养护的督查、指导，确保农村污水处理设施稳定、达标运行。</w:t>
      </w:r>
    </w:p>
    <w:p>
      <w:pPr>
        <w:ind w:firstLine="643" w:firstLineChars="200"/>
      </w:pPr>
      <w:r>
        <w:rPr>
          <w:rFonts w:hint="eastAsia"/>
          <w:b/>
        </w:rPr>
        <w:t>治理农村生活垃圾</w:t>
      </w:r>
      <w:r>
        <w:rPr>
          <w:rFonts w:hint="eastAsia"/>
        </w:rPr>
        <w:t>。深入推进“农户分类、村组收集、乡镇处理”模式，建立健全符合农村实际、方式多样的生活垃圾收运处置体系，加快垃圾收集、中转设施建设，配备生活垃圾保洁人员。推行垃圾就地分类和资源化利用，引导农户采取庭院堆肥或村域集中处理消纳易腐垃圾。建立生活垃圾治理、运行长效机制，探索村庄保洁市场化运营。深入开展非正规垃圾堆放点排查，开展非正规垃圾堆放点整治，制定“一处一策”整治方案，采取就地简易封场、规范封场、搬迁处理及垃圾综合利用等方式，消除非正规垃圾堆放点带来的环境影响。到2025年，行政村生活垃圾有效治理比例达100%。</w:t>
      </w:r>
    </w:p>
    <w:bookmarkEnd w:id="129"/>
    <w:p>
      <w:pPr>
        <w:ind w:firstLine="643" w:firstLineChars="200"/>
      </w:pPr>
      <w:r>
        <w:rPr>
          <w:rFonts w:hint="eastAsia"/>
          <w:b/>
        </w:rPr>
        <w:t>加快推进农村黑臭水体治理</w:t>
      </w:r>
      <w:r>
        <w:rPr>
          <w:rFonts w:hint="eastAsia"/>
        </w:rPr>
        <w:t>。按照“分级管理、分类治理、分期推进”总体思路，深入实施农村黑臭水体治理。组织开展农村黑臭水体排查识别，明确黑臭水体名称、地理位置、污染成因和治理范围等，建立名册台账。推进农村黑臭水体综合治理，以李市小溪、跃进桥河沟等黑臭水体为重点，在实地调查和环境监测基础上，确定污染源和污染状况，综合分析黑臭水体的污染成因，采取控源截污、清淤疏浚、水体净化等措施进行综合治理。综合评估农村黑臭水体水质和底泥状况，合理制定清淤疏浚方案，加强淤泥清理、排放、运输、处置的全过程管理，避免产生二次污染。通过推进退耕还林还草还湿、退田还河还湖和水源涵养林建设，采用生态净化手段，促进农村水生态系统健康良性发展。因地制宜推进水体水系连通，增强渠道、河道、池塘等水体流动性及自净能力。开展农村黑臭水体治理试点示范，积极申报黑臭水体治理试点示范。</w:t>
      </w:r>
    </w:p>
    <w:p>
      <w:pPr>
        <w:ind w:firstLine="643" w:firstLineChars="200"/>
      </w:pPr>
      <w:r>
        <w:rPr>
          <w:rFonts w:hint="eastAsia"/>
          <w:b/>
        </w:rPr>
        <w:t>深入推进村容村貌改善</w:t>
      </w:r>
      <w:r>
        <w:rPr>
          <w:rFonts w:hint="eastAsia"/>
        </w:rPr>
        <w:t>。以实施乡村振兴战略为契机，科学合理规划乡村建设，抓好农村人居环境整治工作，按照“不大拆大建、因地制宜、缺什么就整治什么”的原则，着眼“四化”，实施“八改”，扎实推进“五沿”区域示范整治，连点成线，以线促面。巩固农业农村污染防治试点示范镇、村工程建设成果，常态化开展“三清一改”村庄清洁行动。深入实施“五清理一活动”专项行动，推动农村人居环境更加干净、整治、有序、美观。积极开展“最美乡村”评选活动，发挥典型示范引领作用，开展“最美院落”“最美庭院”创建评选活动。加快建设“四好农村路”，建设一批旅游路、产业路、便民路，促进城乡交通基础设施互联互通。统筹农村田园风貌保护和环境整治，慎砍树、禁挖山、不填湖、少拆房，保护乡土味道，留住乡愁，学习借鉴浙江“千万工程”经验，加快美丽乡村建设工程经验总结，形成“产业、村庄、土地、公共服务和生态规划”五规合一的江津美丽乡村建设模式，持续开展美丽宜居乡村示范创建。</w:t>
      </w:r>
    </w:p>
    <w:p>
      <w:pPr>
        <w:pStyle w:val="3"/>
        <w:ind w:firstLine="640"/>
      </w:pPr>
      <w:bookmarkStart w:id="142" w:name="_Toc73027392"/>
      <w:bookmarkStart w:id="143" w:name="_Toc84695820"/>
      <w:bookmarkStart w:id="144" w:name="_Toc84695755"/>
      <w:bookmarkStart w:id="145" w:name="_Toc85018521"/>
      <w:bookmarkStart w:id="146" w:name="_Toc84695707"/>
      <w:bookmarkStart w:id="147" w:name="_Toc84695482"/>
      <w:bookmarkStart w:id="148" w:name="_Toc84695822"/>
      <w:bookmarkStart w:id="149" w:name="_Toc84695764"/>
      <w:bookmarkStart w:id="150" w:name="_Toc84695491"/>
      <w:bookmarkStart w:id="151" w:name="_Toc84695716"/>
      <w:bookmarkStart w:id="152" w:name="_Toc73027394"/>
      <w:r>
        <w:rPr>
          <w:rFonts w:hint="eastAsia"/>
          <w:lang w:val="zh-CN"/>
        </w:rPr>
        <w:t>（三）推进地下水</w:t>
      </w:r>
      <w:bookmarkEnd w:id="142"/>
      <w:r>
        <w:rPr>
          <w:rFonts w:hint="eastAsia"/>
        </w:rPr>
        <w:t>生态环境保护</w:t>
      </w:r>
      <w:bookmarkEnd w:id="143"/>
      <w:bookmarkEnd w:id="144"/>
      <w:bookmarkEnd w:id="145"/>
      <w:bookmarkEnd w:id="146"/>
      <w:bookmarkEnd w:id="147"/>
    </w:p>
    <w:p>
      <w:pPr>
        <w:pStyle w:val="4"/>
        <w:ind w:firstLine="643"/>
      </w:pPr>
      <w:bookmarkStart w:id="153" w:name="_Toc84695708"/>
      <w:bookmarkStart w:id="154" w:name="_Toc84695483"/>
      <w:bookmarkStart w:id="155" w:name="_Toc84695756"/>
      <w:bookmarkStart w:id="156" w:name="_Toc85018522"/>
      <w:bookmarkStart w:id="157" w:name="_Toc66890108"/>
      <w:r>
        <w:rPr>
          <w:rFonts w:hint="eastAsia"/>
        </w:rPr>
        <w:t>1</w:t>
      </w:r>
      <w:r>
        <w:t>.</w:t>
      </w:r>
      <w:r>
        <w:rPr>
          <w:rFonts w:hint="eastAsia"/>
        </w:rPr>
        <w:t>持续推进地下水调查评估</w:t>
      </w:r>
      <w:bookmarkEnd w:id="153"/>
      <w:bookmarkEnd w:id="154"/>
      <w:bookmarkEnd w:id="155"/>
      <w:bookmarkEnd w:id="156"/>
    </w:p>
    <w:p>
      <w:pPr>
        <w:ind w:firstLine="643" w:firstLineChars="200"/>
      </w:pPr>
      <w:r>
        <w:rPr>
          <w:rFonts w:hint="eastAsia"/>
          <w:b/>
        </w:rPr>
        <w:t>开展集中式地下水型饮用水源环境状况调查</w:t>
      </w:r>
      <w:r>
        <w:rPr>
          <w:rFonts w:hint="eastAsia"/>
        </w:rPr>
        <w:t>。对石门镇沙坝厂水源地、德感街道长冲水厂水源地等2个集中式地下水型饮用水源开展环境状况调查，掌握集中式地下水型饮用水源补给、径流、排泄等区域周边地下水基础环境状况，到2</w:t>
      </w:r>
      <w:r>
        <w:t>022年，完成集中式地下水型饮用水源环境状况调查。贯彻落实</w:t>
      </w:r>
      <w:r>
        <w:rPr>
          <w:rFonts w:hint="eastAsia"/>
        </w:rPr>
        <w:t>《关于印发地下水环境状况调查评估工作指南等4项技术文件的通知》（环办土壤函〔20</w:t>
      </w:r>
      <w:r>
        <w:t>19</w:t>
      </w:r>
      <w:r>
        <w:rPr>
          <w:rFonts w:hint="eastAsia"/>
        </w:rPr>
        <w:t>〕70号）文件要求，建立集中式地下水型饮用水源清单，实现动态更新。</w:t>
      </w:r>
    </w:p>
    <w:p>
      <w:pPr>
        <w:ind w:firstLine="643" w:firstLineChars="200"/>
      </w:pPr>
      <w:r>
        <w:rPr>
          <w:b/>
        </w:rPr>
        <w:t>开展地下水污染源环境状况调查</w:t>
      </w:r>
      <w:r>
        <w:t>。以垃圾填埋场、危险废物处置场、工业园区、</w:t>
      </w:r>
      <w:r>
        <w:rPr>
          <w:rFonts w:hint="eastAsia"/>
        </w:rPr>
        <w:t>矿山开采区、加油站及油库等区域为重点，开展地下水重要污染源及周边区域地下水环境状况调查，及时掌握地下水环境风险情况。到202</w:t>
      </w:r>
      <w:r>
        <w:t>5</w:t>
      </w:r>
      <w:r>
        <w:rPr>
          <w:rFonts w:hint="eastAsia"/>
        </w:rPr>
        <w:t>年，完成地下水污染源环境状况调查，建立地下水污染源清单，实现动态更新。</w:t>
      </w:r>
    </w:p>
    <w:p>
      <w:pPr>
        <w:ind w:firstLine="643" w:firstLineChars="200"/>
      </w:pPr>
      <w:r>
        <w:rPr>
          <w:rFonts w:hint="eastAsia"/>
          <w:b/>
        </w:rPr>
        <w:t>开展“双源”风险评估</w:t>
      </w:r>
      <w:r>
        <w:rPr>
          <w:rFonts w:hint="eastAsia"/>
        </w:rPr>
        <w:t>。贯彻落实《关于印发江津区贯彻落实土壤污染防治行动计划工作方案的通知》（江津府发〔2017〕20号）文件要求，按照市级的部署及时完善更新地下水“双源”数据库，开展集中式地下水型饮用水水源地、地下水污染源等“双源”调查评估。编制完成石门镇沙坝厂水源地、德感街道长冲水厂水源地等2个地下水型水源地和存在地下水污染的环境风险评估报告。</w:t>
      </w:r>
    </w:p>
    <w:p>
      <w:pPr>
        <w:ind w:firstLine="643" w:firstLineChars="200"/>
      </w:pPr>
      <w:r>
        <w:rPr>
          <w:rFonts w:hint="eastAsia"/>
          <w:b/>
        </w:rPr>
        <w:t>建立地下水环境监测体系</w:t>
      </w:r>
      <w:r>
        <w:rPr>
          <w:rFonts w:hint="eastAsia"/>
        </w:rPr>
        <w:t>。完善地下水环境监测网，以工业园区、垃圾填埋场等污染源地下水水质监测井为重点，加强现有地下水环境监测井的运行维护和管理，推进地下水环境监测网建设。构建地下水环境监测信息平台，按照“大网络、大系统、大数据”的建设思路，积极推进数据共享共用。积极配合国家和市级统一要求构建地下水环境监测信息平台，加强数据共享，发挥地下水环境大数据在污染防治、国土空间规划、土地利用、农业生产中的作用。</w:t>
      </w:r>
    </w:p>
    <w:p>
      <w:pPr>
        <w:pStyle w:val="4"/>
        <w:ind w:firstLine="643"/>
      </w:pPr>
      <w:bookmarkStart w:id="158" w:name="_Toc85018523"/>
      <w:bookmarkStart w:id="159" w:name="_Toc84695484"/>
      <w:bookmarkStart w:id="160" w:name="_Toc84695709"/>
      <w:bookmarkStart w:id="161" w:name="_Toc84695757"/>
      <w:r>
        <w:rPr>
          <w:rFonts w:hint="eastAsia"/>
        </w:rPr>
        <w:t>2</w:t>
      </w:r>
      <w:r>
        <w:t>.</w:t>
      </w:r>
      <w:r>
        <w:rPr>
          <w:rFonts w:hint="eastAsia"/>
        </w:rPr>
        <w:t>加强地下水水源环境保护</w:t>
      </w:r>
      <w:bookmarkEnd w:id="158"/>
      <w:bookmarkEnd w:id="159"/>
      <w:bookmarkEnd w:id="160"/>
      <w:bookmarkEnd w:id="161"/>
    </w:p>
    <w:p>
      <w:pPr>
        <w:ind w:firstLine="643" w:firstLineChars="200"/>
      </w:pPr>
      <w:r>
        <w:rPr>
          <w:rFonts w:hint="eastAsia"/>
          <w:b/>
        </w:rPr>
        <w:t>加强集中式地下水型饮用水水源地风险防控建设</w:t>
      </w:r>
      <w:r>
        <w:rPr>
          <w:rFonts w:hint="eastAsia"/>
        </w:rPr>
        <w:t>。</w:t>
      </w:r>
      <w:r>
        <w:t>全面开展地下水污染分区防治，</w:t>
      </w:r>
      <w:r>
        <w:rPr>
          <w:rFonts w:hint="eastAsia"/>
        </w:rPr>
        <w:t>实施地下水污染源分区监管</w:t>
      </w:r>
      <w:r>
        <w:t>。结合地下水水文地质调查、污染调查和环境监测结果</w:t>
      </w:r>
      <w:r>
        <w:rPr>
          <w:rFonts w:hint="eastAsia"/>
        </w:rPr>
        <w:t>，对2个地下水型饮用水水源保护区外，与水源地共处同一水文地质单元的工业污染源、加油站等重点风险源实施风险等级管理，严格管理与控制有毒有害物质。建立风险源名录，实现动态更新。在地下水型饮用水源环境保护状况评估的基础上，进一步提高饮用水源规范化建设水平。</w:t>
      </w:r>
    </w:p>
    <w:p>
      <w:pPr>
        <w:ind w:firstLine="643" w:firstLineChars="200"/>
      </w:pPr>
      <w:r>
        <w:rPr>
          <w:rFonts w:hint="eastAsia"/>
          <w:b/>
        </w:rPr>
        <w:t>严格地下水型饮用水源环境执法</w:t>
      </w:r>
      <w:r>
        <w:rPr>
          <w:rFonts w:hint="eastAsia"/>
        </w:rPr>
        <w:t>。定期开展饮用水保护执法检查、地下水饮用水水源环境执法检查和后督察。</w:t>
      </w:r>
      <w:r>
        <w:t>严格地下水</w:t>
      </w:r>
      <w:r>
        <w:rPr>
          <w:rFonts w:hint="eastAsia"/>
        </w:rPr>
        <w:t>型</w:t>
      </w:r>
      <w:r>
        <w:t>饮用水水源保护区环境准入标准，落实地下水保护与污染防治责任，依法取缔饮用水水源保护区内的违法建设项目和排污口。按照“谁污染、谁治理”的原则，对地下水污染隐患进行限期治理。</w:t>
      </w:r>
    </w:p>
    <w:p>
      <w:pPr>
        <w:pStyle w:val="4"/>
        <w:ind w:firstLine="643"/>
      </w:pPr>
      <w:bookmarkStart w:id="162" w:name="_Toc84695485"/>
      <w:bookmarkStart w:id="163" w:name="_Toc84695758"/>
      <w:bookmarkStart w:id="164" w:name="_Toc85018524"/>
      <w:bookmarkStart w:id="165" w:name="_Toc84695710"/>
      <w:r>
        <w:rPr>
          <w:rFonts w:hint="eastAsia"/>
        </w:rPr>
        <w:t>3</w:t>
      </w:r>
      <w:r>
        <w:t>.</w:t>
      </w:r>
      <w:r>
        <w:rPr>
          <w:rFonts w:hint="eastAsia"/>
        </w:rPr>
        <w:t>强化地下水污染源头预防</w:t>
      </w:r>
      <w:bookmarkEnd w:id="162"/>
      <w:bookmarkEnd w:id="163"/>
      <w:bookmarkEnd w:id="164"/>
      <w:bookmarkEnd w:id="165"/>
    </w:p>
    <w:p>
      <w:pPr>
        <w:ind w:firstLine="643" w:firstLineChars="200"/>
      </w:pPr>
      <w:r>
        <w:rPr>
          <w:rFonts w:hint="eastAsia"/>
          <w:b/>
        </w:rPr>
        <w:t>加强工业污染防治</w:t>
      </w:r>
      <w:r>
        <w:rPr>
          <w:rFonts w:hint="eastAsia"/>
        </w:rPr>
        <w:t>。以双福工业园区、尖山灰场、重庆市三维环保有限责任公司江津区城市生活垃圾处置场等列入“双源”清单为重点，运营、管理单位应当采取防渗等措施，并建设地下水水质监测井，按月开展地下水环境监测，监测数据报市级、区生态环境部门，将地下水环境污染应急预案纳入环境污染应急预案中，并报市生态环境局备案。定期检查列入“双源”清单中的重点行业企业地下水污染防治工作开展情况，明令禁止企业通过渗井、渗坑和裂隙排放、倾倒废水。以化学品生产企业以及工业园区、矿山开采区、垃圾填埋场等为重点，开展防渗情况排查，对分区防渗措施未按相关标准或规划执行的、防渗层破损、渗漏污染地下水的开展必要的防渗改造。新建加油站埋地油罐使用双层罐或者设置防渗池，要与主体工程同时设计、同时施工、同时投入使用。重点控制危险废物对地下水的影响，加强危险废物管控，建立全过程信息化监管体系，明确危险废物利用处置二次污染控制要求及综合利用过程环境保护要求，促进危险废物安全利用。加强危险废物堆放场地治理，防止对地下水的污染，开展地下水污染防治示范工作。</w:t>
      </w:r>
    </w:p>
    <w:p>
      <w:pPr>
        <w:ind w:firstLine="643" w:firstLineChars="200"/>
      </w:pPr>
      <w:r>
        <w:rPr>
          <w:rFonts w:hint="eastAsia"/>
          <w:b/>
        </w:rPr>
        <w:t>分类管控农业面源</w:t>
      </w:r>
      <w:r>
        <w:rPr>
          <w:rFonts w:hint="eastAsia"/>
        </w:rPr>
        <w:t>。以农业面源污染导致地下水超标的地区为重点，大力推广测土配方施肥技术，积极引导农民科学施肥，使用生物农药或高效、低毒、低残留农药，推广病虫草害综合防治、生物防治和精准施药等技术。加强畜禽粪污处理设施建设，加强规模化畜禽养殖场（区）标准化改造和禽粪污处理设施建设，建立完善粪污储存、回收和利用体系，防治污染地下水。开展种植业结构调整与布局优化，在地下水高污染风险区优先种植需肥量低、环境效益突出的农作物。通过工程技术、生态补偿等综合措施，在水源补给区内禁止种植农作物、开展规模化和专业户畜禽养殖，</w:t>
      </w:r>
      <w:r>
        <w:rPr>
          <w:rFonts w:hint="eastAsia" w:cs="Times New Roman"/>
        </w:rPr>
        <w:t>逐步退出饮用水水源一级保护区内农业种植和经济林，</w:t>
      </w:r>
      <w:r>
        <w:rPr>
          <w:rFonts w:hint="eastAsia"/>
        </w:rPr>
        <w:t>从源头削减污染物排放。农田灌溉用水应当符合相应的水质标准，防止污染土壤、地下水和农产品。</w:t>
      </w:r>
    </w:p>
    <w:p>
      <w:pPr>
        <w:ind w:firstLine="643" w:firstLineChars="200"/>
      </w:pPr>
      <w:r>
        <w:rPr>
          <w:rFonts w:hint="eastAsia"/>
          <w:b/>
        </w:rPr>
        <w:t>严格控制生活污染</w:t>
      </w:r>
      <w:r>
        <w:rPr>
          <w:rFonts w:hint="eastAsia"/>
        </w:rPr>
        <w:t>。开展城镇污水管网渗漏排查工作，加快城镇污水管网更新改造，完善管网收集系统，减少管网渗漏；规范污泥处置系统建设，严格按照污泥处理标准及堆存处置要求对污泥进行无害化处理处置。加快推进双福污水处理厂三期扩建、改扩建兰家沱污水处理厂（三期）、先锋镇污水处理厂扩建、中山污水处理厂、四屏镇湾头污水处理厂、石门镇污水管网等工程实施建设。完善生活垃圾填埋场或堆放场防渗措施，建设雨污分流系统。对于已污染地下水的生活垃圾填埋场，及时开展顶部防渗、渗滤液引流、地下水修复等工作。有计划关闭过渡性的简易或非正规生活垃圾填埋设施。</w:t>
      </w:r>
      <w:bookmarkEnd w:id="157"/>
    </w:p>
    <w:p>
      <w:pPr>
        <w:pStyle w:val="4"/>
        <w:ind w:firstLine="643"/>
      </w:pPr>
      <w:bookmarkStart w:id="166" w:name="_Toc66890109"/>
      <w:bookmarkStart w:id="167" w:name="_Toc84695759"/>
      <w:bookmarkStart w:id="168" w:name="_Toc84695711"/>
      <w:bookmarkStart w:id="169" w:name="_Toc85018525"/>
      <w:bookmarkStart w:id="170" w:name="_Toc84695486"/>
      <w:r>
        <w:t>4.</w:t>
      </w:r>
      <w:bookmarkEnd w:id="166"/>
      <w:r>
        <w:rPr>
          <w:rFonts w:hint="eastAsia"/>
        </w:rPr>
        <w:t>推进地下水污染风险管控与修复</w:t>
      </w:r>
      <w:bookmarkEnd w:id="167"/>
      <w:bookmarkEnd w:id="168"/>
      <w:bookmarkEnd w:id="169"/>
      <w:bookmarkEnd w:id="170"/>
    </w:p>
    <w:p>
      <w:pPr>
        <w:ind w:firstLine="643" w:firstLineChars="200"/>
      </w:pPr>
      <w:r>
        <w:rPr>
          <w:rFonts w:hint="eastAsia"/>
          <w:b/>
        </w:rPr>
        <w:t>实施地下水污染管控与治理</w:t>
      </w:r>
      <w:r>
        <w:rPr>
          <w:rFonts w:hint="eastAsia"/>
        </w:rPr>
        <w:t>。根据重点企业用地详查结果，完成重点工业园区地下水污染扩散排查。对已查明的地下水污染严重的在产企业，督促落实隐患排查、自行监测、溯源断源、管控治理等措施。按照国家地下水污染场地清单公布办法和要求，</w:t>
      </w:r>
      <w:r>
        <w:t>建立地下水污染地块动态清单，</w:t>
      </w:r>
      <w:r>
        <w:rPr>
          <w:rFonts w:hint="eastAsia"/>
        </w:rPr>
        <w:t>适时公布环境风险大、严重影响公众健康的地下水污染地块清单，</w:t>
      </w:r>
      <w:r>
        <w:t>健全</w:t>
      </w:r>
      <w:r>
        <w:rPr>
          <w:rFonts w:hint="eastAsia"/>
        </w:rPr>
        <w:t>与区发展改革、区规划和自然资源、区农业农村等相关</w:t>
      </w:r>
      <w:r>
        <w:t>部门联动监管机制。以</w:t>
      </w:r>
      <w:r>
        <w:rPr>
          <w:rFonts w:hint="eastAsia"/>
        </w:rPr>
        <w:t>工业园区、</w:t>
      </w:r>
      <w:r>
        <w:t>矿山开采区等为重点，编制针对性的风险管控方案并实施。加强地下水污染修复制度建设，逐步完善限期修复达标制度，提升地下水环境管理水平。</w:t>
      </w:r>
    </w:p>
    <w:p>
      <w:pPr>
        <w:ind w:firstLine="643" w:firstLineChars="200"/>
        <w:rPr>
          <w:rFonts w:eastAsia="仿宋"/>
          <w:color w:val="000000"/>
          <w:szCs w:val="32"/>
        </w:rPr>
      </w:pPr>
      <w:r>
        <w:rPr>
          <w:rFonts w:hint="eastAsia"/>
          <w:b/>
        </w:rPr>
        <w:t>推动重点治理项目试点示范</w:t>
      </w:r>
      <w:r>
        <w:rPr>
          <w:rFonts w:hint="eastAsia"/>
        </w:rPr>
        <w:t>。综合江津区地下水专项调查评估、地下水污染扩散排查、企业地下水污染管控和治理等重点任务，推进抽出处理、原位氧化等单一技术或技术组合实现本地化应用，</w:t>
      </w:r>
      <w:r>
        <w:t>探索和集成经济合理、效果可达的</w:t>
      </w:r>
      <w:r>
        <w:rPr>
          <w:rFonts w:hint="eastAsia"/>
        </w:rPr>
        <w:t>技术或技术组合，结合全区实际，开展地水下污染修复试点。</w:t>
      </w:r>
      <w:r>
        <w:rPr>
          <w:rFonts w:eastAsia="仿宋"/>
          <w:color w:val="000000"/>
          <w:szCs w:val="32"/>
        </w:rPr>
        <w:t>到2025年，基本形成具有地方特色的可复制、可推广的地下水污染防治模式。</w:t>
      </w:r>
    </w:p>
    <w:p>
      <w:pPr>
        <w:pStyle w:val="3"/>
        <w:ind w:firstLine="640"/>
        <w:rPr>
          <w:lang w:val="zh-CN"/>
        </w:rPr>
      </w:pPr>
      <w:bookmarkStart w:id="171" w:name="_Toc85018526"/>
      <w:r>
        <w:rPr>
          <w:rFonts w:hint="eastAsia"/>
          <w:lang w:val="zh-CN"/>
        </w:rPr>
        <w:t>（四）推进多污染要素协同防治</w:t>
      </w:r>
      <w:bookmarkEnd w:id="148"/>
      <w:bookmarkEnd w:id="149"/>
      <w:bookmarkEnd w:id="150"/>
      <w:bookmarkEnd w:id="151"/>
      <w:bookmarkEnd w:id="171"/>
    </w:p>
    <w:p>
      <w:pPr>
        <w:ind w:firstLine="643" w:firstLineChars="200"/>
      </w:pPr>
      <w:r>
        <w:rPr>
          <w:b/>
        </w:rPr>
        <w:t>加强土壤和地下水污染协同防治</w:t>
      </w:r>
      <w:r>
        <w:rPr>
          <w:rFonts w:hint="eastAsia"/>
        </w:rPr>
        <w:t>。贯彻落实《中华人民共和国土壤污染防治法》、《关于印发江津区贯彻落实土壤污染防治行动计划工作方案的通知》（江津府发〔2017〕20号）等文件要求，加强农用地土壤与地下水污染协同防治，要将地下水污染防治内容加入安全利用类和严格管控类农用地土壤与地下水污染防治方案中；加强建设用地土壤与地下水污染协同防治，对污染物含量超过土壤污染风险管控标准的建设用地地块，土壤污染状况调查报告应当包括地下水是否收到污染等内容；对列入风险管控和修复名录中的建设用地地块，实施风险管控措施应包含地下水污染防治的内容；实施修复的地块，要将地下水污染修复相关内容加入修复方案。在防治项目立项、实施以及绩效评估等环节，要将土壤和地下水污染防治统筹安排、同步考虑、同步落实。</w:t>
      </w:r>
    </w:p>
    <w:p>
      <w:pPr>
        <w:ind w:firstLine="643" w:firstLineChars="200"/>
      </w:pPr>
      <w:r>
        <w:rPr>
          <w:rFonts w:hint="eastAsia"/>
          <w:b/>
        </w:rPr>
        <w:t>加强地表水与地下水污染协同防治</w:t>
      </w:r>
      <w:r>
        <w:rPr>
          <w:rFonts w:hint="eastAsia"/>
        </w:rPr>
        <w:t>。加快城镇污水管网更新改造，完善管网收集系统，推进农村生活污水治理，减少管网渗漏及生活污水排放对地下水的影响；各街道办事处、乡镇人民政府应统筹规划农业灌溉取水水源，使用污水处理厂再生水的，应严格执行《农田灌溉水质标准》（G</w:t>
      </w:r>
      <w:r>
        <w:t>B5084-2021</w:t>
      </w:r>
      <w:r>
        <w:rPr>
          <w:rFonts w:hint="eastAsia"/>
        </w:rPr>
        <w:t>）、《城市污水再生利用农田灌溉用水水质》（G</w:t>
      </w:r>
      <w:r>
        <w:t>B20922-2007</w:t>
      </w:r>
      <w:r>
        <w:rPr>
          <w:rFonts w:hint="eastAsia"/>
        </w:rPr>
        <w:t>）、《城镇污水处理厂排放标准》（G</w:t>
      </w:r>
      <w:r>
        <w:t>B18918-2002</w:t>
      </w:r>
      <w:r>
        <w:rPr>
          <w:rFonts w:hint="eastAsia"/>
        </w:rPr>
        <w:t>）等文件排放标准要求；降低农业面源污染对地下水水质影响，重点推进土地集中连片区域测土配方施肥技术，开展种植业结构调整与优化布局，在地下水高污染风险区引导优先种植需肥量低、环境效益突出的农作物避免在土壤渗透性强、地下水位高、地下水露头区进行再生水灌溉；持续推进桥溪河、梅江河、綦江河等水环境综合整治，减少河网区污染河段侧渗和垂直补给污染地下水，重点控制地表水中氨氮、总磷、耗氧量有机物超标对地下水的影响。</w:t>
      </w:r>
    </w:p>
    <w:p>
      <w:pPr>
        <w:ind w:firstLine="643" w:firstLineChars="200"/>
      </w:pPr>
      <w:r>
        <w:rPr>
          <w:rFonts w:hint="eastAsia"/>
          <w:b/>
        </w:rPr>
        <w:t>加强区域与场地地下水污染协同防治</w:t>
      </w:r>
      <w:r>
        <w:rPr>
          <w:rFonts w:hint="eastAsia"/>
        </w:rPr>
        <w:t>。按照《地下水污染防治分区工作指南》等技术指南，开展地下水污染防治区划分工作，划定地下水污染保护区、防控区和治理区，综合考虑地下水污染指标、地下水使用功能等因素提出地下水污染分区防治措施，实施地下水污染源分类监管；以开展地下水污染风险管控和治理修复为重点，优先选择以保护地下水型饮用水源环境安全为目的的场地和因非法排放水污染物造成地下水含水层直接污染，开展地下水污染修复与防控工作。</w:t>
      </w:r>
    </w:p>
    <w:p>
      <w:pPr>
        <w:pStyle w:val="3"/>
        <w:ind w:firstLine="640"/>
      </w:pPr>
      <w:bookmarkStart w:id="172" w:name="_Toc85018527"/>
      <w:bookmarkStart w:id="173" w:name="_Toc84695717"/>
      <w:bookmarkStart w:id="174" w:name="_Toc84695765"/>
      <w:bookmarkStart w:id="175" w:name="_Toc84695492"/>
      <w:bookmarkStart w:id="176" w:name="_Toc84695823"/>
      <w:r>
        <w:rPr>
          <w:rFonts w:hint="eastAsia"/>
          <w:lang w:val="zh-CN"/>
        </w:rPr>
        <w:t>（五）提升</w:t>
      </w:r>
      <w:bookmarkEnd w:id="152"/>
      <w:r>
        <w:rPr>
          <w:rFonts w:hint="eastAsia"/>
        </w:rPr>
        <w:t>土壤、地下水与农业农村生态环境监管能力</w:t>
      </w:r>
      <w:bookmarkEnd w:id="172"/>
      <w:bookmarkEnd w:id="173"/>
      <w:bookmarkEnd w:id="174"/>
      <w:bookmarkEnd w:id="175"/>
      <w:bookmarkEnd w:id="176"/>
    </w:p>
    <w:p>
      <w:pPr>
        <w:ind w:firstLine="643" w:firstLineChars="200"/>
      </w:pPr>
      <w:bookmarkStart w:id="177" w:name="_Toc66890116"/>
      <w:r>
        <w:rPr>
          <w:b/>
        </w:rPr>
        <w:t>完善污染防治法制体系</w:t>
      </w:r>
      <w:bookmarkEnd w:id="177"/>
      <w:r>
        <w:rPr>
          <w:rFonts w:hint="eastAsia"/>
        </w:rPr>
        <w:t>。配合市级推进《重庆市土壤污染防治条例》立法工作，鼓励各乡镇（街道）同步开展学习，并结合各地区实际情况提出工作意见。组织开展《土壤污染防治法》普法宣传活动，提升社会公众土壤环境保护意识，传播土壤生态环境方面的科普知识，拓宽土壤法宣传范围。积极组织全区企业，特别是土壤环境重点监管单位及企业参与土壤污染防治培训与交流，提高企业对土壤环境保护的知晓率，促进企业自觉对保护土壤环境守职尽责，强化守法意识。</w:t>
      </w:r>
    </w:p>
    <w:p>
      <w:pPr>
        <w:ind w:firstLine="643" w:firstLineChars="200"/>
      </w:pPr>
      <w:bookmarkStart w:id="178" w:name="_Toc66890117"/>
      <w:r>
        <w:rPr>
          <w:rFonts w:hint="eastAsia"/>
          <w:b/>
        </w:rPr>
        <w:t>进一步摸清家底</w:t>
      </w:r>
      <w:bookmarkEnd w:id="178"/>
      <w:r>
        <w:rPr>
          <w:rFonts w:hint="eastAsia"/>
        </w:rPr>
        <w:t>。贯彻落实《中华人民共和国土壤污染防治法》、“土十条”等文件要求，</w:t>
      </w:r>
      <w:r>
        <w:t>推进农用地和建设用地重点地块、土壤污染重点监管单位周边土壤监测、调查等。</w:t>
      </w:r>
      <w:r>
        <w:rPr>
          <w:rFonts w:hint="eastAsia"/>
        </w:rPr>
        <w:t>持续推进地下水环境状况调查评估，以集中式地下水型饮用水源和地下水污染源为重点，</w:t>
      </w:r>
      <w:r>
        <w:t>推进城镇集中式地下水型饮用水源补给区、加油站、垃圾填埋场等区域周边地下水基础环境状况调查。判断区域地下水和</w:t>
      </w:r>
      <w:r>
        <w:rPr>
          <w:rFonts w:hint="eastAsia" w:ascii="方正仿宋_GBK"/>
        </w:rPr>
        <w:t>“双源”</w:t>
      </w:r>
      <w:r>
        <w:t>周边地下水环境质量和环境管理情况，研究地下水环境状况调查评估常态化机制、工作模式和保障措施等。开展农村饮用水水源地风险排查和农村黑臭水体调查，建立农业农村生态环境统计调查体系。</w:t>
      </w:r>
    </w:p>
    <w:p>
      <w:pPr>
        <w:ind w:firstLine="643" w:firstLineChars="200"/>
      </w:pPr>
      <w:bookmarkStart w:id="179" w:name="_Toc66890118"/>
      <w:r>
        <w:rPr>
          <w:rFonts w:hint="eastAsia"/>
          <w:b/>
        </w:rPr>
        <w:t>建立健全监测网络</w:t>
      </w:r>
      <w:r>
        <w:rPr>
          <w:rFonts w:hint="eastAsia"/>
        </w:rPr>
        <w:t>。</w:t>
      </w:r>
      <w:r>
        <w:t>建立健全土壤、地下水与农业农村生态环境监测网络体系、污染源预警预报体系和网格监控体系。落实</w:t>
      </w:r>
      <w:r>
        <w:rPr>
          <w:rFonts w:hint="eastAsia"/>
        </w:rPr>
        <w:t>土壤、地下水与农业农村生态环境</w:t>
      </w:r>
      <w:r>
        <w:t>污染防治年度环境监测工作任务。完成土壤污染重点监管单位、污水集中处理设施和固废处置设施周边土壤环境质量监测点位布设。</w:t>
      </w:r>
      <w:r>
        <w:rPr>
          <w:rFonts w:hint="eastAsia"/>
        </w:rPr>
        <w:t>以</w:t>
      </w:r>
      <w:r>
        <w:t>农产品污染物含量超标、作为污水灌溉区、用于规模化养殖、固体废物堆放、填埋等的农用地和国务院生态环境、自然资源主管部门规定的建设用地</w:t>
      </w:r>
      <w:r>
        <w:rPr>
          <w:rFonts w:hint="eastAsia"/>
        </w:rPr>
        <w:t>等为重点</w:t>
      </w:r>
      <w:r>
        <w:t>，农业农村和生态环境主管部门落实重点监测要求。开展</w:t>
      </w:r>
      <w:r>
        <w:rPr>
          <w:rFonts w:hint="eastAsia"/>
        </w:rPr>
        <w:t>全区</w:t>
      </w:r>
      <w:r>
        <w:t>土壤环境背景调查，并结合重点行业详查、国控点检测、企业自行检测和重点企业周边土壤环境检测，形成全</w:t>
      </w:r>
      <w:r>
        <w:rPr>
          <w:rFonts w:hint="eastAsia"/>
        </w:rPr>
        <w:t>区</w:t>
      </w:r>
      <w:r>
        <w:t>土壤环境数据库，</w:t>
      </w:r>
      <w:r>
        <w:rPr>
          <w:rFonts w:hint="eastAsia"/>
        </w:rPr>
        <w:t>理清</w:t>
      </w:r>
      <w:r>
        <w:t>本地未污染土壤特征因子的环境背景含量、空间分布特征及变化规律。落实地下水国考点位监测要</w:t>
      </w:r>
      <w:bookmarkStart w:id="190" w:name="_GoBack"/>
      <w:bookmarkEnd w:id="190"/>
      <w:r>
        <w:t>求。合理布设重点工业园区和重点企业周边地下水监测点，统一采样检测要求、统一数据汇总分析。</w:t>
      </w:r>
      <w:r>
        <w:rPr>
          <w:rFonts w:hint="eastAsia"/>
        </w:rPr>
        <w:t>健全农村生态环境监测体系，增加农村环境质量监测点位，开展空气、水、土壤、生态监测。</w:t>
      </w:r>
    </w:p>
    <w:p>
      <w:pPr>
        <w:ind w:firstLine="643" w:firstLineChars="200"/>
      </w:pPr>
      <w:r>
        <w:rPr>
          <w:rFonts w:hint="eastAsia"/>
          <w:b/>
        </w:rPr>
        <w:t>加强土壤、地下水与农业农村生态环境保护监管执法</w:t>
      </w:r>
      <w:r>
        <w:rPr>
          <w:rFonts w:hint="eastAsia"/>
        </w:rPr>
        <w:t>。依法将土壤、地下水与农业农村生态环境保护相关工作纳入日常执法内容。深化部门合作联动、齐抓共管的工作机制，在执法过程中加强工作沟通和交流，定期召开土壤、地下水与农业农村生态环境保护相关工作会议，针对矛盾突出问题开展专项行动，强化行政联动执法，对于影响土壤、地下水与农业农村生态环境安全的各种违法行为始终保持严打高压势态。加强对列入建设用地土壤污染风险管控和修复名录地块的抽查巡检，对违反《土壤法》的，做到“发现一起、查处一起”。严厉打击向土壤、地下水渗排偷排污染物、违规开发污染地块或修复工程造成二次污染等严重违法行为。加强基层执法监管监测能力建设，鼓励各地根据履职需求，开展执法能力和监测能力建设。推动全区土壤环境信息化应用升级改造，应用大数据手段，深度挖掘土壤和地下水调查详查数据成果，提升发现问题、解决问题的能力水平。</w:t>
      </w:r>
    </w:p>
    <w:bookmarkEnd w:id="179"/>
    <w:p>
      <w:pPr>
        <w:ind w:firstLine="643" w:firstLineChars="200"/>
      </w:pPr>
      <w:r>
        <w:rPr>
          <w:b/>
        </w:rPr>
        <w:t>推进土壤、地下水与农业农村生态环境保护治理体系与治理能力现代化</w:t>
      </w:r>
      <w:r>
        <w:rPr>
          <w:rFonts w:hint="eastAsia"/>
        </w:rPr>
        <w:t>。</w:t>
      </w:r>
      <w:r>
        <w:t>创新监管手段和监管方式，研究建立统一的土壤、地下水与农业农村生态环境监管</w:t>
      </w:r>
      <w:r>
        <w:rPr>
          <w:rFonts w:hint="eastAsia" w:ascii="方正仿宋_GBK"/>
        </w:rPr>
        <w:t>“云平台”</w:t>
      </w:r>
      <w:r>
        <w:t>。</w:t>
      </w:r>
      <w:r>
        <w:rPr>
          <w:rFonts w:hint="eastAsia"/>
        </w:rPr>
        <w:t>进一步加强土壤、地下水</w:t>
      </w:r>
      <w:r>
        <w:t>与农业农村</w:t>
      </w:r>
      <w:r>
        <w:rPr>
          <w:rFonts w:hint="eastAsia"/>
        </w:rPr>
        <w:t>生态环境保护科技支撑能力建设，优化和整合污染防治专业支撑队伍，开展污染防治专业技术培训。加强与重庆交通大学等高校、科研机构合作，整合人才资源，建立健全土壤、地下水</w:t>
      </w:r>
      <w:r>
        <w:t>与农业农村生态环境</w:t>
      </w:r>
      <w:r>
        <w:rPr>
          <w:rFonts w:hint="eastAsia"/>
        </w:rPr>
        <w:t>污染防治专家库，探索建立专家水平评价机制。</w:t>
      </w:r>
      <w:r>
        <w:t>建立经济激励机制，运用经济手段推进土壤、地下水与农业农村生态环境保护。完善土壤与地下水环境应急管理机制，加大科技研发支撑力度。</w:t>
      </w:r>
    </w:p>
    <w:p>
      <w:pPr>
        <w:ind w:firstLine="643" w:firstLineChars="200"/>
        <w:rPr>
          <w:rFonts w:ascii="方正仿宋_GBK"/>
        </w:rPr>
      </w:pPr>
      <w:r>
        <w:rPr>
          <w:rFonts w:hint="eastAsia" w:ascii="方正仿宋_GBK"/>
          <w:b/>
        </w:rPr>
        <w:t>加强政策创新</w:t>
      </w:r>
      <w:r>
        <w:rPr>
          <w:rFonts w:hint="eastAsia" w:ascii="方正仿宋_GBK"/>
        </w:rPr>
        <w:t>。在土壤污染防治方面，设立“以奖促治”政策，用于支持重点行业开展污染设施“零渗漏”、治污设施转型升级等。研究重点企业土壤污染防治激励机制，将重点行业企业开展隐患排查、土壤环境自行监测、环境问题整改等纳入企业成本。建立奖惩机制，加大违法违规企业处罚力度。建立并完善土壤污染治理投融资机制、影响耕地土壤环境质量的重点行业企业退出等政策。在地下水污染防治方面，建立矿山生态修复环境治理恢复保证金制度。从严制定地下水资源费征收标准，完善差别水价等政策。探索建立受益地区对地下水补给径流区的生态补偿机制。研究将地下水质量状况，纳入自然资源资产负债表制度。在农业农村生态环境保护方面，加强农村生态环保设施用地和运营经费保障，实行农业用电价格；强化金融政策支持，发行农村生态环境治理专项债券；研究制定进一步支持畜禽养殖废弃物、农作物秸秆资源化利用奖补政策。</w:t>
      </w:r>
    </w:p>
    <w:p>
      <w:pPr>
        <w:pStyle w:val="2"/>
      </w:pPr>
      <w:bookmarkStart w:id="180" w:name="_Toc84695493"/>
      <w:bookmarkStart w:id="181" w:name="_Toc84695824"/>
      <w:bookmarkStart w:id="182" w:name="_Toc84695766"/>
      <w:bookmarkStart w:id="183" w:name="_Toc84695718"/>
      <w:bookmarkStart w:id="184" w:name="_Toc85018528"/>
      <w:r>
        <w:rPr>
          <w:rFonts w:hint="eastAsia"/>
        </w:rPr>
        <w:t>第四章 重大工程</w:t>
      </w:r>
      <w:bookmarkEnd w:id="180"/>
      <w:bookmarkEnd w:id="181"/>
      <w:bookmarkEnd w:id="182"/>
      <w:bookmarkEnd w:id="183"/>
      <w:bookmarkEnd w:id="184"/>
    </w:p>
    <w:p>
      <w:pPr>
        <w:ind w:firstLine="640" w:firstLineChars="200"/>
      </w:pPr>
      <w:r>
        <w:rPr>
          <w:rFonts w:hint="eastAsia"/>
        </w:rPr>
        <w:t>根据规划主要目标和重点任务，主要从土壤污染风险管控和修复、地下水污染风险排查及风险管控试点示范、农业农村环境治理、监管能力提升、集中推进区或示范区建设等方面，组织实施一批重大工程。</w:t>
      </w:r>
    </w:p>
    <w:p/>
    <w:p>
      <w:pPr>
        <w:pStyle w:val="2"/>
      </w:pPr>
      <w:bookmarkStart w:id="185" w:name="_Toc84695494"/>
      <w:bookmarkStart w:id="186" w:name="_Toc84695825"/>
      <w:bookmarkStart w:id="187" w:name="_Toc85018529"/>
      <w:bookmarkStart w:id="188" w:name="_Toc84695767"/>
      <w:bookmarkStart w:id="189" w:name="_Toc84695719"/>
      <w:r>
        <w:rPr>
          <w:rFonts w:hint="eastAsia"/>
        </w:rPr>
        <w:t>第五章 保障措施</w:t>
      </w:r>
      <w:bookmarkEnd w:id="185"/>
      <w:bookmarkEnd w:id="186"/>
      <w:bookmarkEnd w:id="187"/>
      <w:bookmarkEnd w:id="188"/>
      <w:bookmarkEnd w:id="189"/>
    </w:p>
    <w:p>
      <w:pPr>
        <w:ind w:firstLine="643" w:firstLineChars="200"/>
      </w:pPr>
      <w:r>
        <w:rPr>
          <w:rFonts w:hint="eastAsia"/>
          <w:b/>
        </w:rPr>
        <w:t>加强组织领导</w:t>
      </w:r>
      <w:r>
        <w:rPr>
          <w:rFonts w:hint="eastAsia"/>
        </w:rPr>
        <w:t>。落实党政主体责任，牢固树立“一盘棋”思想，按照职责分工，建立和完善分工负责和统一监管的工作机制，形成区、乡镇（街道）分级管理，部门相互配合，上下联动，良性互动的推进机制，狠抓工作落实。按照部门职责分工，抓好</w:t>
      </w:r>
      <w:r>
        <w:t>土壤、地下水与农业农村生态环境</w:t>
      </w:r>
      <w:r>
        <w:rPr>
          <w:rFonts w:hint="eastAsia"/>
        </w:rPr>
        <w:t>保护规划目标、任务分解，并将其纳入政府年度目标责任考核，对规划实施进展缓慢、重点工程任务滞后或运行不稳定、政策措施落实不到位的乡镇（街道）、部门，跟踪问责问效，落实防治工作责任，保障规划目标和任务的完成。</w:t>
      </w:r>
    </w:p>
    <w:p>
      <w:pPr>
        <w:ind w:firstLine="643" w:firstLineChars="200"/>
      </w:pPr>
      <w:r>
        <w:rPr>
          <w:rFonts w:hint="eastAsia"/>
          <w:b/>
        </w:rPr>
        <w:t>强化投入保障</w:t>
      </w:r>
      <w:r>
        <w:rPr>
          <w:rFonts w:hint="eastAsia"/>
        </w:rPr>
        <w:t>。根据生态环境领域财政事权和支出责任划分规定，落实江津区土壤、地下水和农业农村污染防治“十四五”规划的重点任务、重大项目的资金投入。积极争取上级生态环境保护资金，督促污染责任主体切实承担污染治理的经济责任，引导社会资本投入，进一步拓宽多元化资金筹措渠道。围绕规划目标和重点问题，依托项目库加大投入力度，根据全区土壤、地下水和农业农村污染的重点区域、重点行业、重点企业和重点污染物状况，抓紧谋划并实施重点污染防治项目，推动排除一批突出风险隐患。</w:t>
      </w:r>
    </w:p>
    <w:p>
      <w:pPr>
        <w:ind w:firstLine="643" w:firstLineChars="200"/>
        <w:rPr>
          <w:rFonts w:ascii="方正仿宋_GBK"/>
        </w:rPr>
      </w:pPr>
      <w:r>
        <w:rPr>
          <w:rFonts w:hint="eastAsia"/>
          <w:b/>
        </w:rPr>
        <w:t>强化监督考核</w:t>
      </w:r>
      <w:r>
        <w:rPr>
          <w:rFonts w:hint="eastAsia"/>
        </w:rPr>
        <w:t>。</w:t>
      </w:r>
      <w:r>
        <w:rPr>
          <w:rFonts w:hint="eastAsia" w:ascii="方正仿宋_GBK"/>
        </w:rPr>
        <w:t>加强考核评估，按照《</w:t>
      </w:r>
      <w:r>
        <w:rPr>
          <w:rFonts w:cs="Times New Roman"/>
        </w:rPr>
        <w:t>江津区生态与环境保护考核办法（试行）</w:t>
      </w:r>
      <w:r>
        <w:rPr>
          <w:rFonts w:hint="eastAsia" w:ascii="方正仿宋_GBK"/>
        </w:rPr>
        <w:t>》、《</w:t>
      </w:r>
      <w:r>
        <w:rPr>
          <w:rFonts w:cs="Times New Roman"/>
        </w:rPr>
        <w:t>2020年江津区处级领导班子及区管国有重点企业领导班子发展业绩考核指标</w:t>
      </w:r>
      <w:r>
        <w:rPr>
          <w:rFonts w:hint="eastAsia" w:ascii="方正仿宋_GBK"/>
        </w:rPr>
        <w:t>》等有关规定，将考核结果作为对领导班子和领导干部综合考核评价的重要依据。采取通报预警、挂牌督办等措施，督促未完成土壤、地下水与农业农村生态环境污染防治工作目标任务或工作责任落实不到位的地方整改落实。依法追究工作不力、履职缺位等导致土壤污染问题突出、优先保护类耕地面积减少、土壤环境质量明显下降的单位和人员责任。</w:t>
      </w:r>
    </w:p>
    <w:p>
      <w:pPr>
        <w:ind w:firstLine="643" w:firstLineChars="200"/>
      </w:pPr>
      <w:r>
        <w:rPr>
          <w:rFonts w:hint="eastAsia"/>
          <w:b/>
        </w:rPr>
        <w:t>加强宣传教育</w:t>
      </w:r>
      <w:r>
        <w:rPr>
          <w:rFonts w:hint="eastAsia"/>
        </w:rPr>
        <w:t>。加强对</w:t>
      </w:r>
      <w:r>
        <w:rPr>
          <w:rFonts w:hint="eastAsia" w:ascii="方正仿宋_GBK"/>
        </w:rPr>
        <w:t>土壤、地下水与农业农村生态环境</w:t>
      </w:r>
      <w:r>
        <w:rPr>
          <w:rFonts w:hint="eastAsia"/>
        </w:rPr>
        <w:t>污染整治工作的舆论宣传，及时主动在部门网站上公开查处的</w:t>
      </w:r>
      <w:r>
        <w:rPr>
          <w:rFonts w:hint="eastAsia" w:ascii="方正仿宋_GBK"/>
        </w:rPr>
        <w:t>土壤、地下水与农业农村生态环境</w:t>
      </w:r>
      <w:r>
        <w:rPr>
          <w:rFonts w:hint="eastAsia"/>
        </w:rPr>
        <w:t>违法信息，通过新闻媒体对挂牌督办环境问题、立案查处的环境违法案件，以及危害群众健康的突出问题予以曝光。充分利用微博、微信等新媒体，加强</w:t>
      </w:r>
      <w:r>
        <w:rPr>
          <w:rFonts w:hint="eastAsia" w:ascii="方正仿宋_GBK"/>
        </w:rPr>
        <w:t>土壤、地下水与农业农村生态环境</w:t>
      </w:r>
      <w:r>
        <w:rPr>
          <w:rFonts w:hint="eastAsia"/>
        </w:rPr>
        <w:t>污染防治宣传教育，增强公众的保护意识，形成全社会参与的良好氛围。</w:t>
      </w:r>
      <w:r>
        <w:t>加强环境公共关系和公共传播能力建设，搭建政府、企业、公众和媒体间的互动交流平台。</w:t>
      </w:r>
    </w:p>
    <w:p>
      <w:pPr>
        <w:ind w:firstLine="643" w:firstLineChars="200"/>
      </w:pPr>
      <w:r>
        <w:rPr>
          <w:rFonts w:hint="eastAsia"/>
          <w:b/>
        </w:rPr>
        <w:t>加强人才队伍建设</w:t>
      </w:r>
      <w:r>
        <w:rPr>
          <w:rFonts w:hint="eastAsia"/>
        </w:rPr>
        <w:t>。强化</w:t>
      </w:r>
      <w:r>
        <w:rPr>
          <w:rFonts w:hint="eastAsia" w:ascii="方正仿宋_GBK"/>
        </w:rPr>
        <w:t>土壤、地下水与农业农村生态环境</w:t>
      </w:r>
      <w:r>
        <w:rPr>
          <w:rFonts w:hint="eastAsia"/>
        </w:rPr>
        <w:t>保护基础研究，加强专业人才队伍建设。创建和完善科学的专业人才引进和培养制度。坚持党管人才，加强对从事</w:t>
      </w:r>
      <w:r>
        <w:rPr>
          <w:rFonts w:hint="eastAsia" w:ascii="方正仿宋_GBK"/>
        </w:rPr>
        <w:t>土壤、地下水与农业农村生态环境</w:t>
      </w:r>
      <w:r>
        <w:rPr>
          <w:rFonts w:hint="eastAsia"/>
        </w:rPr>
        <w:t>保护、生态经济建设专职人员的技术培训，培养一支懂业务、善协调、会管理的生态文明建设专业队伍。设立江津区生态环境专项基金，促进科技人员的技术创新。</w:t>
      </w:r>
    </w:p>
    <w:p/>
    <w:sectPr>
      <w:headerReference r:id="rId9" w:type="even"/>
      <w:pgSz w:w="11906" w:h="16838"/>
      <w:pgMar w:top="2098" w:right="1474" w:bottom="1985" w:left="1588" w:header="851" w:footer="992" w:gutter="0"/>
      <w:pgNumType w:start="1"/>
      <w:cols w:space="425"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Mangal">
    <w:altName w:val="DejaVu Math TeX Gyre"/>
    <w:panose1 w:val="00000400000000000000"/>
    <w:charset w:val="00"/>
    <w:family w:val="roman"/>
    <w:pitch w:val="default"/>
    <w:sig w:usb0="00000000" w:usb1="00000000" w:usb2="00000000" w:usb3="00000000" w:csb0="00000001" w:csb1="00000000"/>
  </w:font>
  <w:font w:name="Tw Cen MT">
    <w:altName w:val="Noto Music"/>
    <w:panose1 w:val="020B0602020104020603"/>
    <w:charset w:val="00"/>
    <w:family w:val="swiss"/>
    <w:pitch w:val="default"/>
    <w:sig w:usb0="00000000" w:usb1="00000000" w:usb2="00000000" w:usb3="00000000" w:csb0="00000003" w:csb1="00000000"/>
  </w:font>
  <w:font w:name="仿宋_GB2312">
    <w:altName w:val="方正仿宋_GBK"/>
    <w:panose1 w:val="02010609030101010101"/>
    <w:charset w:val="86"/>
    <w:family w:val="modern"/>
    <w:pitch w:val="default"/>
    <w:sig w:usb0="00000000" w:usb1="00000000" w:usb2="0000001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113892338"/>
      <w:docPartObj>
        <w:docPartGallery w:val="autotext"/>
      </w:docPartObj>
    </w:sdtPr>
    <w:sdtEndPr>
      <w:rPr>
        <w:sz w:val="21"/>
        <w:szCs w:val="21"/>
      </w:rPr>
    </w:sdtEndPr>
    <w:sdtContent>
      <w:p>
        <w:pPr>
          <w:pStyle w:val="18"/>
          <w:jc w:val="right"/>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30654005"/>
      <w:docPartObj>
        <w:docPartGallery w:val="autotext"/>
      </w:docPartObj>
    </w:sdtPr>
    <w:sdtEndPr>
      <w:rPr>
        <w:sz w:val="21"/>
        <w:szCs w:val="21"/>
      </w:rPr>
    </w:sdtEndPr>
    <w:sdtContent>
      <w:p>
        <w:pPr>
          <w:pStyle w:val="18"/>
          <w:jc w:val="right"/>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2096231682"/>
      <w:docPartObj>
        <w:docPartGallery w:val="autotext"/>
      </w:docPartObj>
    </w:sdtPr>
    <w:sdtEndPr>
      <w:rPr>
        <w:sz w:val="21"/>
        <w:szCs w:val="21"/>
      </w:rPr>
    </w:sdtEndPr>
    <w:sdtContent>
      <w:p>
        <w:pPr>
          <w:pStyle w:val="18"/>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4"/>
      <w:numFmt w:val="decimal"/>
      <w:lvlText w:val="%1"/>
      <w:legacy w:legacy="1" w:legacySpace="144" w:legacyIndent="0"/>
      <w:lvlJc w:val="left"/>
    </w:lvl>
    <w:lvl w:ilvl="1" w:tentative="0">
      <w:start w:val="3"/>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pStyle w:val="6"/>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EDE3F8"/>
    <w:rsid w:val="000038D5"/>
    <w:rsid w:val="00007079"/>
    <w:rsid w:val="00007B04"/>
    <w:rsid w:val="00012747"/>
    <w:rsid w:val="00012DCB"/>
    <w:rsid w:val="00013123"/>
    <w:rsid w:val="000142C7"/>
    <w:rsid w:val="00015DE6"/>
    <w:rsid w:val="00021413"/>
    <w:rsid w:val="0002472B"/>
    <w:rsid w:val="00027269"/>
    <w:rsid w:val="00027C88"/>
    <w:rsid w:val="00030A63"/>
    <w:rsid w:val="00030F69"/>
    <w:rsid w:val="0003227B"/>
    <w:rsid w:val="000337C8"/>
    <w:rsid w:val="0003406F"/>
    <w:rsid w:val="000349AA"/>
    <w:rsid w:val="00035748"/>
    <w:rsid w:val="00040351"/>
    <w:rsid w:val="00042E16"/>
    <w:rsid w:val="00044F4A"/>
    <w:rsid w:val="000456EB"/>
    <w:rsid w:val="00046720"/>
    <w:rsid w:val="00047FBD"/>
    <w:rsid w:val="00050B45"/>
    <w:rsid w:val="00053726"/>
    <w:rsid w:val="000575C1"/>
    <w:rsid w:val="00060D3A"/>
    <w:rsid w:val="00061B3A"/>
    <w:rsid w:val="00061CDD"/>
    <w:rsid w:val="000622AD"/>
    <w:rsid w:val="00063B4C"/>
    <w:rsid w:val="00071740"/>
    <w:rsid w:val="00071809"/>
    <w:rsid w:val="000720F6"/>
    <w:rsid w:val="00072C2B"/>
    <w:rsid w:val="00072D06"/>
    <w:rsid w:val="00073EF3"/>
    <w:rsid w:val="00074A4F"/>
    <w:rsid w:val="000763ED"/>
    <w:rsid w:val="000765FE"/>
    <w:rsid w:val="00082776"/>
    <w:rsid w:val="00084110"/>
    <w:rsid w:val="000930E3"/>
    <w:rsid w:val="00097D47"/>
    <w:rsid w:val="000A0DA4"/>
    <w:rsid w:val="000A0DB5"/>
    <w:rsid w:val="000A0DD1"/>
    <w:rsid w:val="000A0E22"/>
    <w:rsid w:val="000A1188"/>
    <w:rsid w:val="000A1E59"/>
    <w:rsid w:val="000A24A3"/>
    <w:rsid w:val="000A2D6D"/>
    <w:rsid w:val="000A33B1"/>
    <w:rsid w:val="000A465E"/>
    <w:rsid w:val="000B4138"/>
    <w:rsid w:val="000B52AB"/>
    <w:rsid w:val="000B6138"/>
    <w:rsid w:val="000B6AC5"/>
    <w:rsid w:val="000B6C3A"/>
    <w:rsid w:val="000C1A15"/>
    <w:rsid w:val="000C1FB9"/>
    <w:rsid w:val="000C51C3"/>
    <w:rsid w:val="000C5E62"/>
    <w:rsid w:val="000C6D62"/>
    <w:rsid w:val="000C7911"/>
    <w:rsid w:val="000D1E53"/>
    <w:rsid w:val="000D2789"/>
    <w:rsid w:val="000D3451"/>
    <w:rsid w:val="000D424B"/>
    <w:rsid w:val="000D47A0"/>
    <w:rsid w:val="000D4AC7"/>
    <w:rsid w:val="000D5E27"/>
    <w:rsid w:val="000D65FB"/>
    <w:rsid w:val="000D7529"/>
    <w:rsid w:val="000E019F"/>
    <w:rsid w:val="000E1343"/>
    <w:rsid w:val="000E2670"/>
    <w:rsid w:val="000E5986"/>
    <w:rsid w:val="000F1E86"/>
    <w:rsid w:val="000F5DCC"/>
    <w:rsid w:val="00101720"/>
    <w:rsid w:val="00103702"/>
    <w:rsid w:val="001051B3"/>
    <w:rsid w:val="001054FC"/>
    <w:rsid w:val="00106D0C"/>
    <w:rsid w:val="001073DC"/>
    <w:rsid w:val="00112AAF"/>
    <w:rsid w:val="00113A2B"/>
    <w:rsid w:val="00113F8C"/>
    <w:rsid w:val="0011646B"/>
    <w:rsid w:val="001169C1"/>
    <w:rsid w:val="00117F44"/>
    <w:rsid w:val="00120A81"/>
    <w:rsid w:val="00122D3B"/>
    <w:rsid w:val="00123FEA"/>
    <w:rsid w:val="00124F19"/>
    <w:rsid w:val="00125373"/>
    <w:rsid w:val="00125AB2"/>
    <w:rsid w:val="00131269"/>
    <w:rsid w:val="00132049"/>
    <w:rsid w:val="001351F4"/>
    <w:rsid w:val="00135315"/>
    <w:rsid w:val="00137D45"/>
    <w:rsid w:val="0014288D"/>
    <w:rsid w:val="00144048"/>
    <w:rsid w:val="0014588F"/>
    <w:rsid w:val="0015108E"/>
    <w:rsid w:val="00151CC4"/>
    <w:rsid w:val="00153AAF"/>
    <w:rsid w:val="00155E19"/>
    <w:rsid w:val="00157DDE"/>
    <w:rsid w:val="0016137A"/>
    <w:rsid w:val="00165548"/>
    <w:rsid w:val="00165EBB"/>
    <w:rsid w:val="00167AB9"/>
    <w:rsid w:val="00167C40"/>
    <w:rsid w:val="00167DED"/>
    <w:rsid w:val="00170E02"/>
    <w:rsid w:val="00170FA5"/>
    <w:rsid w:val="00177958"/>
    <w:rsid w:val="00181F61"/>
    <w:rsid w:val="00182D0D"/>
    <w:rsid w:val="00184448"/>
    <w:rsid w:val="001847ED"/>
    <w:rsid w:val="00190152"/>
    <w:rsid w:val="00190208"/>
    <w:rsid w:val="00192792"/>
    <w:rsid w:val="00194106"/>
    <w:rsid w:val="001A0151"/>
    <w:rsid w:val="001A4A16"/>
    <w:rsid w:val="001A6D1B"/>
    <w:rsid w:val="001A7FCD"/>
    <w:rsid w:val="001B1680"/>
    <w:rsid w:val="001B2268"/>
    <w:rsid w:val="001B23E9"/>
    <w:rsid w:val="001B508B"/>
    <w:rsid w:val="001B5DC6"/>
    <w:rsid w:val="001B740B"/>
    <w:rsid w:val="001B748D"/>
    <w:rsid w:val="001C1374"/>
    <w:rsid w:val="001C1E6E"/>
    <w:rsid w:val="001C3433"/>
    <w:rsid w:val="001C36F7"/>
    <w:rsid w:val="001C3794"/>
    <w:rsid w:val="001C3D78"/>
    <w:rsid w:val="001C58F4"/>
    <w:rsid w:val="001C6D45"/>
    <w:rsid w:val="001C7497"/>
    <w:rsid w:val="001D0053"/>
    <w:rsid w:val="001D0999"/>
    <w:rsid w:val="001D1658"/>
    <w:rsid w:val="001D1E2A"/>
    <w:rsid w:val="001D48D4"/>
    <w:rsid w:val="001D6667"/>
    <w:rsid w:val="001D7DC7"/>
    <w:rsid w:val="001D7FD7"/>
    <w:rsid w:val="001E3FC4"/>
    <w:rsid w:val="001E77C8"/>
    <w:rsid w:val="001F35AD"/>
    <w:rsid w:val="001F3ED8"/>
    <w:rsid w:val="001F46C3"/>
    <w:rsid w:val="001F7C3A"/>
    <w:rsid w:val="00202143"/>
    <w:rsid w:val="00203A3A"/>
    <w:rsid w:val="00204466"/>
    <w:rsid w:val="0020656C"/>
    <w:rsid w:val="002065E0"/>
    <w:rsid w:val="00206697"/>
    <w:rsid w:val="00206EBB"/>
    <w:rsid w:val="00207B45"/>
    <w:rsid w:val="002112A3"/>
    <w:rsid w:val="002124B1"/>
    <w:rsid w:val="00212B99"/>
    <w:rsid w:val="002147E2"/>
    <w:rsid w:val="00216C81"/>
    <w:rsid w:val="0022390B"/>
    <w:rsid w:val="0022495F"/>
    <w:rsid w:val="00225E10"/>
    <w:rsid w:val="00227D89"/>
    <w:rsid w:val="00232727"/>
    <w:rsid w:val="0023296E"/>
    <w:rsid w:val="00232DDD"/>
    <w:rsid w:val="002335E5"/>
    <w:rsid w:val="00237B17"/>
    <w:rsid w:val="0024130C"/>
    <w:rsid w:val="002415CA"/>
    <w:rsid w:val="002423E3"/>
    <w:rsid w:val="002429A3"/>
    <w:rsid w:val="00242B8A"/>
    <w:rsid w:val="002431C3"/>
    <w:rsid w:val="00247E23"/>
    <w:rsid w:val="002537D6"/>
    <w:rsid w:val="00255C03"/>
    <w:rsid w:val="002609DF"/>
    <w:rsid w:val="002621FD"/>
    <w:rsid w:val="0026233D"/>
    <w:rsid w:val="002641EA"/>
    <w:rsid w:val="002654B0"/>
    <w:rsid w:val="00265B20"/>
    <w:rsid w:val="00265CF0"/>
    <w:rsid w:val="00271479"/>
    <w:rsid w:val="00271EA8"/>
    <w:rsid w:val="002725F1"/>
    <w:rsid w:val="002747B2"/>
    <w:rsid w:val="00276744"/>
    <w:rsid w:val="00277504"/>
    <w:rsid w:val="002807DE"/>
    <w:rsid w:val="00284EC0"/>
    <w:rsid w:val="002856F4"/>
    <w:rsid w:val="00287144"/>
    <w:rsid w:val="002930E8"/>
    <w:rsid w:val="0029484E"/>
    <w:rsid w:val="00294C2F"/>
    <w:rsid w:val="00294DAB"/>
    <w:rsid w:val="002952BE"/>
    <w:rsid w:val="00297E4E"/>
    <w:rsid w:val="002A4732"/>
    <w:rsid w:val="002A5C82"/>
    <w:rsid w:val="002A6C8B"/>
    <w:rsid w:val="002A7F26"/>
    <w:rsid w:val="002B10EC"/>
    <w:rsid w:val="002B2FD0"/>
    <w:rsid w:val="002B36BD"/>
    <w:rsid w:val="002B4987"/>
    <w:rsid w:val="002B7385"/>
    <w:rsid w:val="002C2BF0"/>
    <w:rsid w:val="002C2F90"/>
    <w:rsid w:val="002C3D43"/>
    <w:rsid w:val="002C4757"/>
    <w:rsid w:val="002C6A39"/>
    <w:rsid w:val="002D0156"/>
    <w:rsid w:val="002D02FA"/>
    <w:rsid w:val="002D203F"/>
    <w:rsid w:val="002D389F"/>
    <w:rsid w:val="002D395C"/>
    <w:rsid w:val="002E18AB"/>
    <w:rsid w:val="002E485D"/>
    <w:rsid w:val="002E6891"/>
    <w:rsid w:val="002F2741"/>
    <w:rsid w:val="002F4227"/>
    <w:rsid w:val="002F7A58"/>
    <w:rsid w:val="003006A3"/>
    <w:rsid w:val="003037FB"/>
    <w:rsid w:val="00304F3A"/>
    <w:rsid w:val="00307894"/>
    <w:rsid w:val="003108F4"/>
    <w:rsid w:val="00310B7C"/>
    <w:rsid w:val="00310F73"/>
    <w:rsid w:val="003128F6"/>
    <w:rsid w:val="00312B4C"/>
    <w:rsid w:val="00312FD8"/>
    <w:rsid w:val="00315197"/>
    <w:rsid w:val="00315E00"/>
    <w:rsid w:val="003165B5"/>
    <w:rsid w:val="00316A8F"/>
    <w:rsid w:val="00316DD1"/>
    <w:rsid w:val="00317F91"/>
    <w:rsid w:val="00321B72"/>
    <w:rsid w:val="003224B5"/>
    <w:rsid w:val="00325A2F"/>
    <w:rsid w:val="003266BF"/>
    <w:rsid w:val="0032777F"/>
    <w:rsid w:val="003311DC"/>
    <w:rsid w:val="003315DB"/>
    <w:rsid w:val="00331ED2"/>
    <w:rsid w:val="00331FD6"/>
    <w:rsid w:val="00333804"/>
    <w:rsid w:val="00333C99"/>
    <w:rsid w:val="00340433"/>
    <w:rsid w:val="003417D6"/>
    <w:rsid w:val="00341E86"/>
    <w:rsid w:val="00343437"/>
    <w:rsid w:val="00344EA7"/>
    <w:rsid w:val="00345162"/>
    <w:rsid w:val="003464CF"/>
    <w:rsid w:val="0034721E"/>
    <w:rsid w:val="0035014C"/>
    <w:rsid w:val="00350D02"/>
    <w:rsid w:val="0035144F"/>
    <w:rsid w:val="0035166D"/>
    <w:rsid w:val="003531E4"/>
    <w:rsid w:val="00355C10"/>
    <w:rsid w:val="0035656B"/>
    <w:rsid w:val="00357DC6"/>
    <w:rsid w:val="003608EC"/>
    <w:rsid w:val="0036475D"/>
    <w:rsid w:val="003657A8"/>
    <w:rsid w:val="0036698D"/>
    <w:rsid w:val="00370A0D"/>
    <w:rsid w:val="00370E0B"/>
    <w:rsid w:val="003778B8"/>
    <w:rsid w:val="003831FB"/>
    <w:rsid w:val="00384DA4"/>
    <w:rsid w:val="0038597B"/>
    <w:rsid w:val="0038643C"/>
    <w:rsid w:val="0039128A"/>
    <w:rsid w:val="0039186C"/>
    <w:rsid w:val="003A51F5"/>
    <w:rsid w:val="003A5DCE"/>
    <w:rsid w:val="003A70FC"/>
    <w:rsid w:val="003A7661"/>
    <w:rsid w:val="003B0101"/>
    <w:rsid w:val="003B0629"/>
    <w:rsid w:val="003B08DB"/>
    <w:rsid w:val="003B1286"/>
    <w:rsid w:val="003B59B5"/>
    <w:rsid w:val="003C1B46"/>
    <w:rsid w:val="003C4C9E"/>
    <w:rsid w:val="003C6CAA"/>
    <w:rsid w:val="003D1654"/>
    <w:rsid w:val="003D301A"/>
    <w:rsid w:val="003D3F46"/>
    <w:rsid w:val="003E6CB5"/>
    <w:rsid w:val="003E7C34"/>
    <w:rsid w:val="003F295F"/>
    <w:rsid w:val="003F38CB"/>
    <w:rsid w:val="003F40E4"/>
    <w:rsid w:val="003F4D83"/>
    <w:rsid w:val="003F753B"/>
    <w:rsid w:val="00403E6A"/>
    <w:rsid w:val="0040412B"/>
    <w:rsid w:val="004049CA"/>
    <w:rsid w:val="00404B8D"/>
    <w:rsid w:val="00405264"/>
    <w:rsid w:val="004065CC"/>
    <w:rsid w:val="00407496"/>
    <w:rsid w:val="00410B74"/>
    <w:rsid w:val="00412049"/>
    <w:rsid w:val="004155A9"/>
    <w:rsid w:val="004213B8"/>
    <w:rsid w:val="00421F2F"/>
    <w:rsid w:val="00427FF5"/>
    <w:rsid w:val="0043298A"/>
    <w:rsid w:val="00432DA9"/>
    <w:rsid w:val="00440337"/>
    <w:rsid w:val="00442BCD"/>
    <w:rsid w:val="0044358B"/>
    <w:rsid w:val="00446D19"/>
    <w:rsid w:val="00447BF5"/>
    <w:rsid w:val="00450192"/>
    <w:rsid w:val="00450455"/>
    <w:rsid w:val="00452E0E"/>
    <w:rsid w:val="00454C9A"/>
    <w:rsid w:val="0045525B"/>
    <w:rsid w:val="00457D00"/>
    <w:rsid w:val="00457E6D"/>
    <w:rsid w:val="004614BA"/>
    <w:rsid w:val="004659F7"/>
    <w:rsid w:val="004664F7"/>
    <w:rsid w:val="004671CD"/>
    <w:rsid w:val="00472C9D"/>
    <w:rsid w:val="004733D4"/>
    <w:rsid w:val="00475C8F"/>
    <w:rsid w:val="00476E52"/>
    <w:rsid w:val="004779BD"/>
    <w:rsid w:val="00480ABC"/>
    <w:rsid w:val="00484D79"/>
    <w:rsid w:val="0048549C"/>
    <w:rsid w:val="0048636B"/>
    <w:rsid w:val="0048781B"/>
    <w:rsid w:val="00490B06"/>
    <w:rsid w:val="004917F5"/>
    <w:rsid w:val="00491D6B"/>
    <w:rsid w:val="0049225F"/>
    <w:rsid w:val="00496526"/>
    <w:rsid w:val="004A3760"/>
    <w:rsid w:val="004A4613"/>
    <w:rsid w:val="004B0711"/>
    <w:rsid w:val="004B17C5"/>
    <w:rsid w:val="004B6BA9"/>
    <w:rsid w:val="004B7868"/>
    <w:rsid w:val="004B7BB5"/>
    <w:rsid w:val="004C074D"/>
    <w:rsid w:val="004C248F"/>
    <w:rsid w:val="004C4208"/>
    <w:rsid w:val="004C4A1E"/>
    <w:rsid w:val="004C5B1C"/>
    <w:rsid w:val="004C6ECA"/>
    <w:rsid w:val="004C74AD"/>
    <w:rsid w:val="004D1DAD"/>
    <w:rsid w:val="004D3927"/>
    <w:rsid w:val="004D4547"/>
    <w:rsid w:val="004D5EAE"/>
    <w:rsid w:val="004D611D"/>
    <w:rsid w:val="004D6E38"/>
    <w:rsid w:val="004D7F9B"/>
    <w:rsid w:val="004E136E"/>
    <w:rsid w:val="004E4FA7"/>
    <w:rsid w:val="004E5A23"/>
    <w:rsid w:val="004E5B7E"/>
    <w:rsid w:val="004F34B1"/>
    <w:rsid w:val="004F4E38"/>
    <w:rsid w:val="004F659C"/>
    <w:rsid w:val="005025A9"/>
    <w:rsid w:val="00504551"/>
    <w:rsid w:val="005108A6"/>
    <w:rsid w:val="0051221E"/>
    <w:rsid w:val="00513002"/>
    <w:rsid w:val="00514730"/>
    <w:rsid w:val="00516B70"/>
    <w:rsid w:val="0051706A"/>
    <w:rsid w:val="00517F8D"/>
    <w:rsid w:val="005205A3"/>
    <w:rsid w:val="00522DA5"/>
    <w:rsid w:val="00523C48"/>
    <w:rsid w:val="00525333"/>
    <w:rsid w:val="00525A87"/>
    <w:rsid w:val="00525B76"/>
    <w:rsid w:val="00527CD4"/>
    <w:rsid w:val="00527EB0"/>
    <w:rsid w:val="005301FD"/>
    <w:rsid w:val="005305FC"/>
    <w:rsid w:val="005339E1"/>
    <w:rsid w:val="0053561A"/>
    <w:rsid w:val="0054025D"/>
    <w:rsid w:val="00540F70"/>
    <w:rsid w:val="00541115"/>
    <w:rsid w:val="00544C8D"/>
    <w:rsid w:val="005527B9"/>
    <w:rsid w:val="00554C97"/>
    <w:rsid w:val="00557D08"/>
    <w:rsid w:val="005603A3"/>
    <w:rsid w:val="00560874"/>
    <w:rsid w:val="00562D68"/>
    <w:rsid w:val="00563F4F"/>
    <w:rsid w:val="00563FE4"/>
    <w:rsid w:val="00564584"/>
    <w:rsid w:val="00564BDB"/>
    <w:rsid w:val="005656E2"/>
    <w:rsid w:val="00566248"/>
    <w:rsid w:val="00567EF3"/>
    <w:rsid w:val="00570B04"/>
    <w:rsid w:val="00573FD4"/>
    <w:rsid w:val="00574CFA"/>
    <w:rsid w:val="00575B85"/>
    <w:rsid w:val="00576E56"/>
    <w:rsid w:val="00577D0C"/>
    <w:rsid w:val="00580A14"/>
    <w:rsid w:val="005812DC"/>
    <w:rsid w:val="0058178E"/>
    <w:rsid w:val="00581B59"/>
    <w:rsid w:val="00593618"/>
    <w:rsid w:val="00594DC8"/>
    <w:rsid w:val="00595117"/>
    <w:rsid w:val="005961E7"/>
    <w:rsid w:val="00596C45"/>
    <w:rsid w:val="005A0591"/>
    <w:rsid w:val="005A2334"/>
    <w:rsid w:val="005A4FDC"/>
    <w:rsid w:val="005A76AD"/>
    <w:rsid w:val="005B05CB"/>
    <w:rsid w:val="005B233C"/>
    <w:rsid w:val="005B44F0"/>
    <w:rsid w:val="005B494F"/>
    <w:rsid w:val="005B6303"/>
    <w:rsid w:val="005B64F2"/>
    <w:rsid w:val="005B7C9E"/>
    <w:rsid w:val="005C2843"/>
    <w:rsid w:val="005C570F"/>
    <w:rsid w:val="005D3772"/>
    <w:rsid w:val="005D3DEF"/>
    <w:rsid w:val="005D4338"/>
    <w:rsid w:val="005D5959"/>
    <w:rsid w:val="005D7D33"/>
    <w:rsid w:val="005E0BCF"/>
    <w:rsid w:val="005E1D8F"/>
    <w:rsid w:val="005E51D0"/>
    <w:rsid w:val="005F1A06"/>
    <w:rsid w:val="005F43DA"/>
    <w:rsid w:val="005F4BF2"/>
    <w:rsid w:val="005F4E10"/>
    <w:rsid w:val="005F53E2"/>
    <w:rsid w:val="00602DFB"/>
    <w:rsid w:val="006038DD"/>
    <w:rsid w:val="006051C9"/>
    <w:rsid w:val="00605652"/>
    <w:rsid w:val="0061071B"/>
    <w:rsid w:val="006127ED"/>
    <w:rsid w:val="00612839"/>
    <w:rsid w:val="00614156"/>
    <w:rsid w:val="00614D9B"/>
    <w:rsid w:val="00615811"/>
    <w:rsid w:val="006167CB"/>
    <w:rsid w:val="00626E6C"/>
    <w:rsid w:val="006278DB"/>
    <w:rsid w:val="00627F5B"/>
    <w:rsid w:val="006342F2"/>
    <w:rsid w:val="0063472F"/>
    <w:rsid w:val="006352CC"/>
    <w:rsid w:val="00637893"/>
    <w:rsid w:val="00644F12"/>
    <w:rsid w:val="0064524D"/>
    <w:rsid w:val="00646440"/>
    <w:rsid w:val="006470E6"/>
    <w:rsid w:val="00647286"/>
    <w:rsid w:val="006511EB"/>
    <w:rsid w:val="006519E2"/>
    <w:rsid w:val="006547B3"/>
    <w:rsid w:val="00661D05"/>
    <w:rsid w:val="00661DF6"/>
    <w:rsid w:val="0066231C"/>
    <w:rsid w:val="006672A5"/>
    <w:rsid w:val="006774FD"/>
    <w:rsid w:val="0068085A"/>
    <w:rsid w:val="00686005"/>
    <w:rsid w:val="00686501"/>
    <w:rsid w:val="00686C57"/>
    <w:rsid w:val="00686CDE"/>
    <w:rsid w:val="006935A7"/>
    <w:rsid w:val="0069547B"/>
    <w:rsid w:val="00696671"/>
    <w:rsid w:val="006A03E8"/>
    <w:rsid w:val="006A11AA"/>
    <w:rsid w:val="006A19A3"/>
    <w:rsid w:val="006A66DE"/>
    <w:rsid w:val="006B1A96"/>
    <w:rsid w:val="006B3B04"/>
    <w:rsid w:val="006B595B"/>
    <w:rsid w:val="006B708D"/>
    <w:rsid w:val="006B74BE"/>
    <w:rsid w:val="006C4506"/>
    <w:rsid w:val="006C6719"/>
    <w:rsid w:val="006D1445"/>
    <w:rsid w:val="006D2A07"/>
    <w:rsid w:val="006D5C2F"/>
    <w:rsid w:val="006D6B13"/>
    <w:rsid w:val="006E3052"/>
    <w:rsid w:val="006E471B"/>
    <w:rsid w:val="006E5696"/>
    <w:rsid w:val="006E59F8"/>
    <w:rsid w:val="006E65C4"/>
    <w:rsid w:val="006E76AE"/>
    <w:rsid w:val="006F0968"/>
    <w:rsid w:val="006F199E"/>
    <w:rsid w:val="006F4EF5"/>
    <w:rsid w:val="006F5B6B"/>
    <w:rsid w:val="006F5ECB"/>
    <w:rsid w:val="006F6B19"/>
    <w:rsid w:val="007027E9"/>
    <w:rsid w:val="00703D70"/>
    <w:rsid w:val="00704848"/>
    <w:rsid w:val="00707B73"/>
    <w:rsid w:val="007128E5"/>
    <w:rsid w:val="007155A1"/>
    <w:rsid w:val="00715E74"/>
    <w:rsid w:val="00716272"/>
    <w:rsid w:val="00716397"/>
    <w:rsid w:val="00721AAD"/>
    <w:rsid w:val="00723807"/>
    <w:rsid w:val="007250AE"/>
    <w:rsid w:val="00733649"/>
    <w:rsid w:val="00740A5E"/>
    <w:rsid w:val="00745A57"/>
    <w:rsid w:val="0074645A"/>
    <w:rsid w:val="007471F5"/>
    <w:rsid w:val="00752AD4"/>
    <w:rsid w:val="007532C7"/>
    <w:rsid w:val="00757CBA"/>
    <w:rsid w:val="00763265"/>
    <w:rsid w:val="00764770"/>
    <w:rsid w:val="00765A5E"/>
    <w:rsid w:val="007709CF"/>
    <w:rsid w:val="007710F2"/>
    <w:rsid w:val="00774274"/>
    <w:rsid w:val="00774822"/>
    <w:rsid w:val="007807B5"/>
    <w:rsid w:val="0078082B"/>
    <w:rsid w:val="0078084B"/>
    <w:rsid w:val="0078550C"/>
    <w:rsid w:val="0078565F"/>
    <w:rsid w:val="00792C7F"/>
    <w:rsid w:val="0079523D"/>
    <w:rsid w:val="007966A5"/>
    <w:rsid w:val="00796D44"/>
    <w:rsid w:val="007A23DF"/>
    <w:rsid w:val="007A3816"/>
    <w:rsid w:val="007A4D72"/>
    <w:rsid w:val="007A6283"/>
    <w:rsid w:val="007B2536"/>
    <w:rsid w:val="007B375C"/>
    <w:rsid w:val="007B40FA"/>
    <w:rsid w:val="007B6A20"/>
    <w:rsid w:val="007B738A"/>
    <w:rsid w:val="007B7C8C"/>
    <w:rsid w:val="007C0E0C"/>
    <w:rsid w:val="007C1218"/>
    <w:rsid w:val="007C122B"/>
    <w:rsid w:val="007C1483"/>
    <w:rsid w:val="007C1726"/>
    <w:rsid w:val="007C1D7C"/>
    <w:rsid w:val="007C212E"/>
    <w:rsid w:val="007C2D92"/>
    <w:rsid w:val="007C444C"/>
    <w:rsid w:val="007C4B49"/>
    <w:rsid w:val="007D2E1F"/>
    <w:rsid w:val="007D4EC5"/>
    <w:rsid w:val="007D5D1B"/>
    <w:rsid w:val="007E074C"/>
    <w:rsid w:val="007E370C"/>
    <w:rsid w:val="007E427F"/>
    <w:rsid w:val="007E537A"/>
    <w:rsid w:val="007E5710"/>
    <w:rsid w:val="007E6C38"/>
    <w:rsid w:val="007F04B4"/>
    <w:rsid w:val="007F1799"/>
    <w:rsid w:val="007F1822"/>
    <w:rsid w:val="007F4FBA"/>
    <w:rsid w:val="007F4FF7"/>
    <w:rsid w:val="007F5B8C"/>
    <w:rsid w:val="007F6521"/>
    <w:rsid w:val="008028E9"/>
    <w:rsid w:val="00805186"/>
    <w:rsid w:val="0080523A"/>
    <w:rsid w:val="00806601"/>
    <w:rsid w:val="00806EE5"/>
    <w:rsid w:val="0081141D"/>
    <w:rsid w:val="00815FA0"/>
    <w:rsid w:val="0081669E"/>
    <w:rsid w:val="00820975"/>
    <w:rsid w:val="00820D83"/>
    <w:rsid w:val="00821972"/>
    <w:rsid w:val="00821BCF"/>
    <w:rsid w:val="008229A5"/>
    <w:rsid w:val="00822EEF"/>
    <w:rsid w:val="008233E6"/>
    <w:rsid w:val="0082425F"/>
    <w:rsid w:val="008242CC"/>
    <w:rsid w:val="00824F0F"/>
    <w:rsid w:val="00825899"/>
    <w:rsid w:val="00830026"/>
    <w:rsid w:val="00831554"/>
    <w:rsid w:val="00836004"/>
    <w:rsid w:val="00837D34"/>
    <w:rsid w:val="00837DFB"/>
    <w:rsid w:val="00841CE8"/>
    <w:rsid w:val="00842625"/>
    <w:rsid w:val="008430CE"/>
    <w:rsid w:val="008435A1"/>
    <w:rsid w:val="008457F7"/>
    <w:rsid w:val="00846905"/>
    <w:rsid w:val="008478A4"/>
    <w:rsid w:val="00852B10"/>
    <w:rsid w:val="00854C6D"/>
    <w:rsid w:val="008605AF"/>
    <w:rsid w:val="00860B9E"/>
    <w:rsid w:val="00862858"/>
    <w:rsid w:val="00863A64"/>
    <w:rsid w:val="00863DBA"/>
    <w:rsid w:val="008649B9"/>
    <w:rsid w:val="00864BF0"/>
    <w:rsid w:val="00866DEE"/>
    <w:rsid w:val="008670AA"/>
    <w:rsid w:val="00867276"/>
    <w:rsid w:val="008745B5"/>
    <w:rsid w:val="0087560A"/>
    <w:rsid w:val="0087656A"/>
    <w:rsid w:val="008811E9"/>
    <w:rsid w:val="008827B9"/>
    <w:rsid w:val="0088388B"/>
    <w:rsid w:val="00885DA9"/>
    <w:rsid w:val="00886D3F"/>
    <w:rsid w:val="00887400"/>
    <w:rsid w:val="00890115"/>
    <w:rsid w:val="00893B15"/>
    <w:rsid w:val="008951BC"/>
    <w:rsid w:val="00895AC9"/>
    <w:rsid w:val="0089613B"/>
    <w:rsid w:val="008A337A"/>
    <w:rsid w:val="008A7B99"/>
    <w:rsid w:val="008B1349"/>
    <w:rsid w:val="008B2BD7"/>
    <w:rsid w:val="008B41A5"/>
    <w:rsid w:val="008B495D"/>
    <w:rsid w:val="008B60A2"/>
    <w:rsid w:val="008B6D52"/>
    <w:rsid w:val="008C5FE1"/>
    <w:rsid w:val="008C7DE0"/>
    <w:rsid w:val="008D0DD5"/>
    <w:rsid w:val="008D2940"/>
    <w:rsid w:val="008D4FA5"/>
    <w:rsid w:val="008D52C5"/>
    <w:rsid w:val="008D603B"/>
    <w:rsid w:val="008D66E6"/>
    <w:rsid w:val="008D675A"/>
    <w:rsid w:val="008D75FA"/>
    <w:rsid w:val="008E07F1"/>
    <w:rsid w:val="008E21F4"/>
    <w:rsid w:val="008E655F"/>
    <w:rsid w:val="008E65E8"/>
    <w:rsid w:val="008F225C"/>
    <w:rsid w:val="008F2781"/>
    <w:rsid w:val="008F2EE5"/>
    <w:rsid w:val="008F4E07"/>
    <w:rsid w:val="008F50E9"/>
    <w:rsid w:val="008F539F"/>
    <w:rsid w:val="008F635E"/>
    <w:rsid w:val="008F738A"/>
    <w:rsid w:val="008F75CE"/>
    <w:rsid w:val="00903259"/>
    <w:rsid w:val="00904FF6"/>
    <w:rsid w:val="009050B6"/>
    <w:rsid w:val="0091086F"/>
    <w:rsid w:val="0091158F"/>
    <w:rsid w:val="00913B56"/>
    <w:rsid w:val="00915B8E"/>
    <w:rsid w:val="00917096"/>
    <w:rsid w:val="00922C01"/>
    <w:rsid w:val="009270E0"/>
    <w:rsid w:val="00927B7A"/>
    <w:rsid w:val="009312A7"/>
    <w:rsid w:val="009323FB"/>
    <w:rsid w:val="00932792"/>
    <w:rsid w:val="009352E8"/>
    <w:rsid w:val="00936E94"/>
    <w:rsid w:val="00937674"/>
    <w:rsid w:val="00941A19"/>
    <w:rsid w:val="009438DD"/>
    <w:rsid w:val="00943A17"/>
    <w:rsid w:val="009466CE"/>
    <w:rsid w:val="00953EC6"/>
    <w:rsid w:val="009610B1"/>
    <w:rsid w:val="0096414B"/>
    <w:rsid w:val="00965066"/>
    <w:rsid w:val="009657E0"/>
    <w:rsid w:val="00970A59"/>
    <w:rsid w:val="009732D7"/>
    <w:rsid w:val="00973B75"/>
    <w:rsid w:val="009751D6"/>
    <w:rsid w:val="009778CF"/>
    <w:rsid w:val="00977BDA"/>
    <w:rsid w:val="00980C2F"/>
    <w:rsid w:val="009817CF"/>
    <w:rsid w:val="0098241D"/>
    <w:rsid w:val="0098576A"/>
    <w:rsid w:val="00987A0E"/>
    <w:rsid w:val="00987E39"/>
    <w:rsid w:val="009904BB"/>
    <w:rsid w:val="0099148E"/>
    <w:rsid w:val="00991DDE"/>
    <w:rsid w:val="00994AAB"/>
    <w:rsid w:val="009A0686"/>
    <w:rsid w:val="009A0770"/>
    <w:rsid w:val="009A1B2C"/>
    <w:rsid w:val="009A21C1"/>
    <w:rsid w:val="009A260C"/>
    <w:rsid w:val="009B1CA6"/>
    <w:rsid w:val="009B372F"/>
    <w:rsid w:val="009B39EA"/>
    <w:rsid w:val="009B4196"/>
    <w:rsid w:val="009B44EB"/>
    <w:rsid w:val="009B4C66"/>
    <w:rsid w:val="009B56F5"/>
    <w:rsid w:val="009B72CD"/>
    <w:rsid w:val="009B7A7A"/>
    <w:rsid w:val="009C1314"/>
    <w:rsid w:val="009C3020"/>
    <w:rsid w:val="009C3EF9"/>
    <w:rsid w:val="009C7A24"/>
    <w:rsid w:val="009D02BE"/>
    <w:rsid w:val="009D1C0B"/>
    <w:rsid w:val="009D7241"/>
    <w:rsid w:val="009D7735"/>
    <w:rsid w:val="009E0CD2"/>
    <w:rsid w:val="009E1CDA"/>
    <w:rsid w:val="009E3122"/>
    <w:rsid w:val="009E3968"/>
    <w:rsid w:val="009E55A1"/>
    <w:rsid w:val="009E60DB"/>
    <w:rsid w:val="009F0A97"/>
    <w:rsid w:val="009F0CA3"/>
    <w:rsid w:val="009F6212"/>
    <w:rsid w:val="009F6A06"/>
    <w:rsid w:val="009F6B00"/>
    <w:rsid w:val="009F6EB4"/>
    <w:rsid w:val="00A01087"/>
    <w:rsid w:val="00A025A8"/>
    <w:rsid w:val="00A06144"/>
    <w:rsid w:val="00A0680A"/>
    <w:rsid w:val="00A06E8E"/>
    <w:rsid w:val="00A07C43"/>
    <w:rsid w:val="00A12486"/>
    <w:rsid w:val="00A1287D"/>
    <w:rsid w:val="00A13067"/>
    <w:rsid w:val="00A145A5"/>
    <w:rsid w:val="00A14DEB"/>
    <w:rsid w:val="00A15E1C"/>
    <w:rsid w:val="00A22DE6"/>
    <w:rsid w:val="00A25D19"/>
    <w:rsid w:val="00A31914"/>
    <w:rsid w:val="00A31C52"/>
    <w:rsid w:val="00A32215"/>
    <w:rsid w:val="00A322CC"/>
    <w:rsid w:val="00A323C2"/>
    <w:rsid w:val="00A32F18"/>
    <w:rsid w:val="00A335AC"/>
    <w:rsid w:val="00A3617C"/>
    <w:rsid w:val="00A4006C"/>
    <w:rsid w:val="00A40AC0"/>
    <w:rsid w:val="00A414D5"/>
    <w:rsid w:val="00A50D92"/>
    <w:rsid w:val="00A539DF"/>
    <w:rsid w:val="00A53A0C"/>
    <w:rsid w:val="00A624B8"/>
    <w:rsid w:val="00A631ED"/>
    <w:rsid w:val="00A71E7D"/>
    <w:rsid w:val="00A72849"/>
    <w:rsid w:val="00A73BE9"/>
    <w:rsid w:val="00A74D7C"/>
    <w:rsid w:val="00A75165"/>
    <w:rsid w:val="00A75835"/>
    <w:rsid w:val="00A77231"/>
    <w:rsid w:val="00A807ED"/>
    <w:rsid w:val="00A810C4"/>
    <w:rsid w:val="00A8148E"/>
    <w:rsid w:val="00A85495"/>
    <w:rsid w:val="00A87C11"/>
    <w:rsid w:val="00A91CEC"/>
    <w:rsid w:val="00A91E68"/>
    <w:rsid w:val="00A93F3E"/>
    <w:rsid w:val="00A9449A"/>
    <w:rsid w:val="00AA0039"/>
    <w:rsid w:val="00AA18C5"/>
    <w:rsid w:val="00AA1DED"/>
    <w:rsid w:val="00AA4E57"/>
    <w:rsid w:val="00AA52A7"/>
    <w:rsid w:val="00AA5631"/>
    <w:rsid w:val="00AA5C71"/>
    <w:rsid w:val="00AA6A4A"/>
    <w:rsid w:val="00AB2D33"/>
    <w:rsid w:val="00AB340A"/>
    <w:rsid w:val="00AB39C3"/>
    <w:rsid w:val="00AB5904"/>
    <w:rsid w:val="00AB596A"/>
    <w:rsid w:val="00AB60C0"/>
    <w:rsid w:val="00AB6C5E"/>
    <w:rsid w:val="00AB7277"/>
    <w:rsid w:val="00AC1381"/>
    <w:rsid w:val="00AC1934"/>
    <w:rsid w:val="00AC2242"/>
    <w:rsid w:val="00AC5B74"/>
    <w:rsid w:val="00AC636A"/>
    <w:rsid w:val="00AC68E6"/>
    <w:rsid w:val="00AC703C"/>
    <w:rsid w:val="00AD19E0"/>
    <w:rsid w:val="00AD381D"/>
    <w:rsid w:val="00AE00EC"/>
    <w:rsid w:val="00AE10DA"/>
    <w:rsid w:val="00AE1A3D"/>
    <w:rsid w:val="00AE4339"/>
    <w:rsid w:val="00AE6F19"/>
    <w:rsid w:val="00AE77E7"/>
    <w:rsid w:val="00AF0102"/>
    <w:rsid w:val="00AF370E"/>
    <w:rsid w:val="00AF7735"/>
    <w:rsid w:val="00B003BB"/>
    <w:rsid w:val="00B0127A"/>
    <w:rsid w:val="00B06DFE"/>
    <w:rsid w:val="00B111BB"/>
    <w:rsid w:val="00B13684"/>
    <w:rsid w:val="00B146B1"/>
    <w:rsid w:val="00B155A1"/>
    <w:rsid w:val="00B20A1B"/>
    <w:rsid w:val="00B233BA"/>
    <w:rsid w:val="00B24B21"/>
    <w:rsid w:val="00B26876"/>
    <w:rsid w:val="00B304C0"/>
    <w:rsid w:val="00B31378"/>
    <w:rsid w:val="00B31886"/>
    <w:rsid w:val="00B33A48"/>
    <w:rsid w:val="00B35146"/>
    <w:rsid w:val="00B35899"/>
    <w:rsid w:val="00B36623"/>
    <w:rsid w:val="00B40604"/>
    <w:rsid w:val="00B406BC"/>
    <w:rsid w:val="00B43766"/>
    <w:rsid w:val="00B46527"/>
    <w:rsid w:val="00B47090"/>
    <w:rsid w:val="00B47842"/>
    <w:rsid w:val="00B53AC3"/>
    <w:rsid w:val="00B547AE"/>
    <w:rsid w:val="00B554BE"/>
    <w:rsid w:val="00B572E5"/>
    <w:rsid w:val="00B64A7C"/>
    <w:rsid w:val="00B713B0"/>
    <w:rsid w:val="00B7305A"/>
    <w:rsid w:val="00B74198"/>
    <w:rsid w:val="00B75077"/>
    <w:rsid w:val="00B750FE"/>
    <w:rsid w:val="00B75C1B"/>
    <w:rsid w:val="00B76AB4"/>
    <w:rsid w:val="00B841F9"/>
    <w:rsid w:val="00B85D73"/>
    <w:rsid w:val="00B87D39"/>
    <w:rsid w:val="00B91FA1"/>
    <w:rsid w:val="00B9211E"/>
    <w:rsid w:val="00B929AD"/>
    <w:rsid w:val="00B93F82"/>
    <w:rsid w:val="00B94A47"/>
    <w:rsid w:val="00B968D5"/>
    <w:rsid w:val="00B97D6E"/>
    <w:rsid w:val="00BA1067"/>
    <w:rsid w:val="00BA123D"/>
    <w:rsid w:val="00BA1C58"/>
    <w:rsid w:val="00BA1FEA"/>
    <w:rsid w:val="00BA2570"/>
    <w:rsid w:val="00BA74CA"/>
    <w:rsid w:val="00BC06FD"/>
    <w:rsid w:val="00BC08F3"/>
    <w:rsid w:val="00BC0B1E"/>
    <w:rsid w:val="00BC1862"/>
    <w:rsid w:val="00BC21EF"/>
    <w:rsid w:val="00BC24B1"/>
    <w:rsid w:val="00BC27A4"/>
    <w:rsid w:val="00BC5C50"/>
    <w:rsid w:val="00BC5D7C"/>
    <w:rsid w:val="00BC7043"/>
    <w:rsid w:val="00BD112A"/>
    <w:rsid w:val="00BD3515"/>
    <w:rsid w:val="00BD4E36"/>
    <w:rsid w:val="00BD7832"/>
    <w:rsid w:val="00BE0A1A"/>
    <w:rsid w:val="00BE258F"/>
    <w:rsid w:val="00BE2594"/>
    <w:rsid w:val="00BE3269"/>
    <w:rsid w:val="00BE3E27"/>
    <w:rsid w:val="00BE5172"/>
    <w:rsid w:val="00BE6E67"/>
    <w:rsid w:val="00BE6FB0"/>
    <w:rsid w:val="00BF0F04"/>
    <w:rsid w:val="00BF1A4D"/>
    <w:rsid w:val="00BF2492"/>
    <w:rsid w:val="00BF2710"/>
    <w:rsid w:val="00BF345E"/>
    <w:rsid w:val="00BF7904"/>
    <w:rsid w:val="00BF7DFB"/>
    <w:rsid w:val="00C04182"/>
    <w:rsid w:val="00C04659"/>
    <w:rsid w:val="00C04F5D"/>
    <w:rsid w:val="00C07E10"/>
    <w:rsid w:val="00C123C4"/>
    <w:rsid w:val="00C128CB"/>
    <w:rsid w:val="00C15C11"/>
    <w:rsid w:val="00C205C3"/>
    <w:rsid w:val="00C21C72"/>
    <w:rsid w:val="00C2285B"/>
    <w:rsid w:val="00C25030"/>
    <w:rsid w:val="00C25385"/>
    <w:rsid w:val="00C300F4"/>
    <w:rsid w:val="00C3120A"/>
    <w:rsid w:val="00C313FD"/>
    <w:rsid w:val="00C317DF"/>
    <w:rsid w:val="00C34751"/>
    <w:rsid w:val="00C34891"/>
    <w:rsid w:val="00C40D55"/>
    <w:rsid w:val="00C41333"/>
    <w:rsid w:val="00C41FFA"/>
    <w:rsid w:val="00C4321B"/>
    <w:rsid w:val="00C4467A"/>
    <w:rsid w:val="00C44FB7"/>
    <w:rsid w:val="00C4616A"/>
    <w:rsid w:val="00C47147"/>
    <w:rsid w:val="00C54FF0"/>
    <w:rsid w:val="00C56336"/>
    <w:rsid w:val="00C56CD5"/>
    <w:rsid w:val="00C57F4A"/>
    <w:rsid w:val="00C62F7D"/>
    <w:rsid w:val="00C64332"/>
    <w:rsid w:val="00C64BF6"/>
    <w:rsid w:val="00C66715"/>
    <w:rsid w:val="00C7291F"/>
    <w:rsid w:val="00C7742A"/>
    <w:rsid w:val="00C805EF"/>
    <w:rsid w:val="00C80AC2"/>
    <w:rsid w:val="00C811F3"/>
    <w:rsid w:val="00C82D8A"/>
    <w:rsid w:val="00C82F10"/>
    <w:rsid w:val="00C833FF"/>
    <w:rsid w:val="00C83A3F"/>
    <w:rsid w:val="00C83D9B"/>
    <w:rsid w:val="00C83F06"/>
    <w:rsid w:val="00C870A3"/>
    <w:rsid w:val="00C90CC1"/>
    <w:rsid w:val="00C9169B"/>
    <w:rsid w:val="00C97968"/>
    <w:rsid w:val="00CA1EB1"/>
    <w:rsid w:val="00CB5ED0"/>
    <w:rsid w:val="00CB75D7"/>
    <w:rsid w:val="00CC06BB"/>
    <w:rsid w:val="00CC0CA3"/>
    <w:rsid w:val="00CC321D"/>
    <w:rsid w:val="00CC3947"/>
    <w:rsid w:val="00CC605D"/>
    <w:rsid w:val="00CC661B"/>
    <w:rsid w:val="00CC7E99"/>
    <w:rsid w:val="00CC7F3F"/>
    <w:rsid w:val="00CD01AF"/>
    <w:rsid w:val="00CD021C"/>
    <w:rsid w:val="00CD0CA7"/>
    <w:rsid w:val="00CD1781"/>
    <w:rsid w:val="00CD1A15"/>
    <w:rsid w:val="00CD1A59"/>
    <w:rsid w:val="00CD1ABA"/>
    <w:rsid w:val="00CD2500"/>
    <w:rsid w:val="00CD3432"/>
    <w:rsid w:val="00CE34BE"/>
    <w:rsid w:val="00CE45E9"/>
    <w:rsid w:val="00CE78A8"/>
    <w:rsid w:val="00CF02CB"/>
    <w:rsid w:val="00CF0888"/>
    <w:rsid w:val="00CF0EE7"/>
    <w:rsid w:val="00CF1892"/>
    <w:rsid w:val="00CF36A0"/>
    <w:rsid w:val="00CF4E8C"/>
    <w:rsid w:val="00CF6798"/>
    <w:rsid w:val="00CF690A"/>
    <w:rsid w:val="00D0589D"/>
    <w:rsid w:val="00D101A7"/>
    <w:rsid w:val="00D14D97"/>
    <w:rsid w:val="00D17CE7"/>
    <w:rsid w:val="00D20A30"/>
    <w:rsid w:val="00D2478B"/>
    <w:rsid w:val="00D25499"/>
    <w:rsid w:val="00D25EBB"/>
    <w:rsid w:val="00D263D4"/>
    <w:rsid w:val="00D314DD"/>
    <w:rsid w:val="00D31F0E"/>
    <w:rsid w:val="00D37AF3"/>
    <w:rsid w:val="00D40CC5"/>
    <w:rsid w:val="00D44056"/>
    <w:rsid w:val="00D44904"/>
    <w:rsid w:val="00D4647A"/>
    <w:rsid w:val="00D51833"/>
    <w:rsid w:val="00D51C8D"/>
    <w:rsid w:val="00D5298D"/>
    <w:rsid w:val="00D557D8"/>
    <w:rsid w:val="00D564C2"/>
    <w:rsid w:val="00D5760C"/>
    <w:rsid w:val="00D63884"/>
    <w:rsid w:val="00D6582F"/>
    <w:rsid w:val="00D70914"/>
    <w:rsid w:val="00D70CC9"/>
    <w:rsid w:val="00D71D42"/>
    <w:rsid w:val="00D72D5F"/>
    <w:rsid w:val="00D72E2F"/>
    <w:rsid w:val="00D75A58"/>
    <w:rsid w:val="00D76F44"/>
    <w:rsid w:val="00D776E2"/>
    <w:rsid w:val="00D82BA6"/>
    <w:rsid w:val="00D84F7F"/>
    <w:rsid w:val="00D85856"/>
    <w:rsid w:val="00D85868"/>
    <w:rsid w:val="00D8700A"/>
    <w:rsid w:val="00D87802"/>
    <w:rsid w:val="00D879FC"/>
    <w:rsid w:val="00D9200B"/>
    <w:rsid w:val="00D937EB"/>
    <w:rsid w:val="00D94D33"/>
    <w:rsid w:val="00D96967"/>
    <w:rsid w:val="00D97C31"/>
    <w:rsid w:val="00DA2088"/>
    <w:rsid w:val="00DA392A"/>
    <w:rsid w:val="00DA4B8C"/>
    <w:rsid w:val="00DA5F7F"/>
    <w:rsid w:val="00DA6B85"/>
    <w:rsid w:val="00DA6C7E"/>
    <w:rsid w:val="00DB1DC6"/>
    <w:rsid w:val="00DB3D6D"/>
    <w:rsid w:val="00DB3ED2"/>
    <w:rsid w:val="00DB43F9"/>
    <w:rsid w:val="00DC0C05"/>
    <w:rsid w:val="00DC587F"/>
    <w:rsid w:val="00DC7368"/>
    <w:rsid w:val="00DD00D9"/>
    <w:rsid w:val="00DD2B10"/>
    <w:rsid w:val="00DD4F80"/>
    <w:rsid w:val="00DD5615"/>
    <w:rsid w:val="00DD65F6"/>
    <w:rsid w:val="00DD7C50"/>
    <w:rsid w:val="00DE04BA"/>
    <w:rsid w:val="00DE16B2"/>
    <w:rsid w:val="00DE1793"/>
    <w:rsid w:val="00DE1D73"/>
    <w:rsid w:val="00DE23D3"/>
    <w:rsid w:val="00DE3D19"/>
    <w:rsid w:val="00DE6355"/>
    <w:rsid w:val="00DE73D3"/>
    <w:rsid w:val="00DF13A6"/>
    <w:rsid w:val="00DF1417"/>
    <w:rsid w:val="00DF215A"/>
    <w:rsid w:val="00DF220E"/>
    <w:rsid w:val="00DF2AFB"/>
    <w:rsid w:val="00DF2D77"/>
    <w:rsid w:val="00DF36BE"/>
    <w:rsid w:val="00DF526D"/>
    <w:rsid w:val="00DF6937"/>
    <w:rsid w:val="00DF7B7C"/>
    <w:rsid w:val="00E00DE5"/>
    <w:rsid w:val="00E019A5"/>
    <w:rsid w:val="00E025AC"/>
    <w:rsid w:val="00E0333B"/>
    <w:rsid w:val="00E06B76"/>
    <w:rsid w:val="00E06B9A"/>
    <w:rsid w:val="00E07E96"/>
    <w:rsid w:val="00E1075F"/>
    <w:rsid w:val="00E11F0C"/>
    <w:rsid w:val="00E12B76"/>
    <w:rsid w:val="00E24875"/>
    <w:rsid w:val="00E24E90"/>
    <w:rsid w:val="00E27F26"/>
    <w:rsid w:val="00E305BE"/>
    <w:rsid w:val="00E30B9B"/>
    <w:rsid w:val="00E30F0C"/>
    <w:rsid w:val="00E31766"/>
    <w:rsid w:val="00E325D2"/>
    <w:rsid w:val="00E37E67"/>
    <w:rsid w:val="00E42676"/>
    <w:rsid w:val="00E46DF9"/>
    <w:rsid w:val="00E47297"/>
    <w:rsid w:val="00E50AED"/>
    <w:rsid w:val="00E50F63"/>
    <w:rsid w:val="00E51567"/>
    <w:rsid w:val="00E546DE"/>
    <w:rsid w:val="00E56746"/>
    <w:rsid w:val="00E56BD4"/>
    <w:rsid w:val="00E571AA"/>
    <w:rsid w:val="00E623D8"/>
    <w:rsid w:val="00E629D9"/>
    <w:rsid w:val="00E63797"/>
    <w:rsid w:val="00E64E66"/>
    <w:rsid w:val="00E65778"/>
    <w:rsid w:val="00E709C9"/>
    <w:rsid w:val="00E73129"/>
    <w:rsid w:val="00E77DC3"/>
    <w:rsid w:val="00E82464"/>
    <w:rsid w:val="00E863F2"/>
    <w:rsid w:val="00E90590"/>
    <w:rsid w:val="00E9504E"/>
    <w:rsid w:val="00E954C3"/>
    <w:rsid w:val="00E970F0"/>
    <w:rsid w:val="00EA0A9A"/>
    <w:rsid w:val="00EA4969"/>
    <w:rsid w:val="00EA5C5D"/>
    <w:rsid w:val="00EA5E0A"/>
    <w:rsid w:val="00EA64E0"/>
    <w:rsid w:val="00EA6DFD"/>
    <w:rsid w:val="00EB1E51"/>
    <w:rsid w:val="00EB2A85"/>
    <w:rsid w:val="00EB2DEA"/>
    <w:rsid w:val="00EB3308"/>
    <w:rsid w:val="00EB6659"/>
    <w:rsid w:val="00EB6F58"/>
    <w:rsid w:val="00EC0A7D"/>
    <w:rsid w:val="00EC13E8"/>
    <w:rsid w:val="00EC21D9"/>
    <w:rsid w:val="00EC60B2"/>
    <w:rsid w:val="00ED2B86"/>
    <w:rsid w:val="00ED3836"/>
    <w:rsid w:val="00ED4561"/>
    <w:rsid w:val="00ED6F39"/>
    <w:rsid w:val="00ED7009"/>
    <w:rsid w:val="00ED75B5"/>
    <w:rsid w:val="00EE1FFE"/>
    <w:rsid w:val="00EE4B42"/>
    <w:rsid w:val="00EE7D87"/>
    <w:rsid w:val="00EF0F99"/>
    <w:rsid w:val="00EF22CB"/>
    <w:rsid w:val="00EF2701"/>
    <w:rsid w:val="00F015DC"/>
    <w:rsid w:val="00F042A6"/>
    <w:rsid w:val="00F0677C"/>
    <w:rsid w:val="00F10D55"/>
    <w:rsid w:val="00F11644"/>
    <w:rsid w:val="00F12A6F"/>
    <w:rsid w:val="00F12DCD"/>
    <w:rsid w:val="00F13A03"/>
    <w:rsid w:val="00F145D4"/>
    <w:rsid w:val="00F14E11"/>
    <w:rsid w:val="00F15115"/>
    <w:rsid w:val="00F17699"/>
    <w:rsid w:val="00F17BF6"/>
    <w:rsid w:val="00F23DCF"/>
    <w:rsid w:val="00F26802"/>
    <w:rsid w:val="00F30676"/>
    <w:rsid w:val="00F3279E"/>
    <w:rsid w:val="00F327F9"/>
    <w:rsid w:val="00F366BD"/>
    <w:rsid w:val="00F43DE2"/>
    <w:rsid w:val="00F5691D"/>
    <w:rsid w:val="00F60C7A"/>
    <w:rsid w:val="00F62C5F"/>
    <w:rsid w:val="00F6595F"/>
    <w:rsid w:val="00F6597F"/>
    <w:rsid w:val="00F71744"/>
    <w:rsid w:val="00F74633"/>
    <w:rsid w:val="00F76670"/>
    <w:rsid w:val="00F81999"/>
    <w:rsid w:val="00F92B4E"/>
    <w:rsid w:val="00F931C2"/>
    <w:rsid w:val="00F934C1"/>
    <w:rsid w:val="00FA02E5"/>
    <w:rsid w:val="00FA121F"/>
    <w:rsid w:val="00FA6B78"/>
    <w:rsid w:val="00FC1202"/>
    <w:rsid w:val="00FC3936"/>
    <w:rsid w:val="00FC4AC6"/>
    <w:rsid w:val="00FC5BFB"/>
    <w:rsid w:val="00FC5D95"/>
    <w:rsid w:val="00FC7387"/>
    <w:rsid w:val="00FD0A93"/>
    <w:rsid w:val="00FD0F6B"/>
    <w:rsid w:val="00FD720E"/>
    <w:rsid w:val="00FD7476"/>
    <w:rsid w:val="00FE060D"/>
    <w:rsid w:val="00FE0B0C"/>
    <w:rsid w:val="00FE3DDC"/>
    <w:rsid w:val="00FE496A"/>
    <w:rsid w:val="00FE53F1"/>
    <w:rsid w:val="00FE5716"/>
    <w:rsid w:val="00FE70D3"/>
    <w:rsid w:val="00FE7ED0"/>
    <w:rsid w:val="00FF12E7"/>
    <w:rsid w:val="00FF1CF7"/>
    <w:rsid w:val="0A4175A1"/>
    <w:rsid w:val="46A869C1"/>
    <w:rsid w:val="65D03996"/>
    <w:rsid w:val="755C7A52"/>
    <w:rsid w:val="7FF98E5D"/>
    <w:rsid w:val="ECFD9167"/>
    <w:rsid w:val="FFEDE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link w:val="42"/>
    <w:qFormat/>
    <w:uiPriority w:val="9"/>
    <w:pPr>
      <w:jc w:val="center"/>
      <w:outlineLvl w:val="0"/>
    </w:pPr>
    <w:rPr>
      <w:rFonts w:eastAsia="方正黑体_GBK"/>
      <w:bCs/>
      <w:kern w:val="44"/>
      <w:szCs w:val="44"/>
    </w:rPr>
  </w:style>
  <w:style w:type="paragraph" w:styleId="3">
    <w:name w:val="heading 2"/>
    <w:basedOn w:val="1"/>
    <w:next w:val="1"/>
    <w:link w:val="43"/>
    <w:unhideWhenUsed/>
    <w:qFormat/>
    <w:uiPriority w:val="0"/>
    <w:pPr>
      <w:ind w:firstLine="200" w:firstLineChars="200"/>
      <w:outlineLvl w:val="1"/>
    </w:pPr>
    <w:rPr>
      <w:rFonts w:eastAsia="方正楷体_GBK" w:asciiTheme="majorHAnsi" w:hAnsiTheme="majorHAnsi" w:cstheme="majorBidi"/>
      <w:bCs/>
      <w:szCs w:val="32"/>
    </w:rPr>
  </w:style>
  <w:style w:type="paragraph" w:styleId="4">
    <w:name w:val="heading 3"/>
    <w:basedOn w:val="1"/>
    <w:next w:val="1"/>
    <w:link w:val="44"/>
    <w:unhideWhenUsed/>
    <w:qFormat/>
    <w:uiPriority w:val="0"/>
    <w:pPr>
      <w:ind w:firstLine="200" w:firstLineChars="200"/>
      <w:outlineLvl w:val="2"/>
    </w:pPr>
    <w:rPr>
      <w:b/>
      <w:bCs/>
      <w:szCs w:val="32"/>
    </w:rPr>
  </w:style>
  <w:style w:type="paragraph" w:styleId="5">
    <w:name w:val="heading 4"/>
    <w:basedOn w:val="1"/>
    <w:next w:val="1"/>
    <w:link w:val="46"/>
    <w:unhideWhenUsed/>
    <w:qFormat/>
    <w:uiPriority w:val="0"/>
    <w:pPr>
      <w:ind w:firstLine="200" w:firstLineChars="200"/>
      <w:outlineLvl w:val="3"/>
    </w:pPr>
    <w:rPr>
      <w:rFonts w:cstheme="majorBidi"/>
      <w:bCs/>
      <w:szCs w:val="28"/>
    </w:rPr>
  </w:style>
  <w:style w:type="paragraph" w:styleId="6">
    <w:name w:val="heading 6"/>
    <w:basedOn w:val="1"/>
    <w:next w:val="1"/>
    <w:unhideWhenUsed/>
    <w:qFormat/>
    <w:uiPriority w:val="0"/>
    <w:pPr>
      <w:keepNext/>
      <w:keepLines/>
      <w:numPr>
        <w:ilvl w:val="5"/>
        <w:numId w:val="1"/>
      </w:numPr>
      <w:adjustRightInd w:val="0"/>
      <w:spacing w:before="240" w:after="64" w:line="320" w:lineRule="atLeast"/>
      <w:textAlignment w:val="baseline"/>
      <w:outlineLvl w:val="5"/>
    </w:pPr>
    <w:rPr>
      <w:rFonts w:ascii="Arial" w:hAnsi="Arial" w:eastAsia="黑体" w:cs="Times New Roman"/>
      <w:b/>
      <w:kern w:val="0"/>
      <w:sz w:val="24"/>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Calibri" w:hAnsi="Calibri" w:eastAsia="宋体" w:cs="Times New Roman"/>
      <w:sz w:val="21"/>
      <w:szCs w:val="22"/>
    </w:rPr>
  </w:style>
  <w:style w:type="paragraph" w:styleId="8">
    <w:name w:val="Normal Indent"/>
    <w:basedOn w:val="1"/>
    <w:unhideWhenUsed/>
    <w:qFormat/>
    <w:uiPriority w:val="99"/>
    <w:pPr>
      <w:ind w:firstLine="420" w:firstLineChars="200"/>
    </w:pPr>
    <w:rPr>
      <w:rFonts w:eastAsia="方正仿宋简体" w:cs="Times New Roman"/>
      <w:szCs w:val="22"/>
    </w:rPr>
  </w:style>
  <w:style w:type="paragraph" w:styleId="9">
    <w:name w:val="caption"/>
    <w:basedOn w:val="1"/>
    <w:next w:val="1"/>
    <w:qFormat/>
    <w:uiPriority w:val="0"/>
    <w:pPr>
      <w:suppressLineNumbers/>
      <w:suppressAutoHyphens/>
      <w:spacing w:before="120" w:after="120"/>
    </w:pPr>
    <w:rPr>
      <w:rFonts w:eastAsia="宋体" w:cs="Mangal"/>
      <w:i/>
      <w:iCs/>
      <w:sz w:val="21"/>
      <w:lang w:eastAsia="ar-SA"/>
    </w:rPr>
  </w:style>
  <w:style w:type="paragraph" w:styleId="10">
    <w:name w:val="Document Map"/>
    <w:basedOn w:val="1"/>
    <w:link w:val="66"/>
    <w:unhideWhenUsed/>
    <w:qFormat/>
    <w:uiPriority w:val="99"/>
    <w:rPr>
      <w:rFonts w:ascii="宋体" w:eastAsiaTheme="minorEastAsia"/>
      <w:sz w:val="18"/>
      <w:szCs w:val="18"/>
    </w:rPr>
  </w:style>
  <w:style w:type="paragraph" w:styleId="11">
    <w:name w:val="annotation text"/>
    <w:basedOn w:val="1"/>
    <w:link w:val="83"/>
    <w:unhideWhenUsed/>
    <w:qFormat/>
    <w:uiPriority w:val="99"/>
    <w:pPr>
      <w:jc w:val="left"/>
    </w:pPr>
    <w:rPr>
      <w:rFonts w:eastAsia="方正仿宋简体" w:cs="Times New Roman"/>
      <w:szCs w:val="22"/>
    </w:rPr>
  </w:style>
  <w:style w:type="paragraph" w:styleId="12">
    <w:name w:val="Body Text"/>
    <w:basedOn w:val="1"/>
    <w:link w:val="55"/>
    <w:qFormat/>
    <w:uiPriority w:val="0"/>
    <w:pPr>
      <w:suppressAutoHyphens/>
    </w:pPr>
    <w:rPr>
      <w:rFonts w:eastAsia="宋体" w:cs="Times New Roman"/>
      <w:sz w:val="21"/>
      <w:lang w:eastAsia="ar-SA"/>
    </w:rPr>
  </w:style>
  <w:style w:type="paragraph" w:styleId="13">
    <w:name w:val="toc 5"/>
    <w:basedOn w:val="1"/>
    <w:next w:val="1"/>
    <w:unhideWhenUsed/>
    <w:qFormat/>
    <w:uiPriority w:val="39"/>
    <w:pPr>
      <w:ind w:left="1680" w:leftChars="800"/>
    </w:pPr>
    <w:rPr>
      <w:rFonts w:ascii="Calibri" w:hAnsi="Calibri" w:eastAsia="宋体" w:cs="Times New Roman"/>
      <w:sz w:val="21"/>
      <w:szCs w:val="22"/>
    </w:rPr>
  </w:style>
  <w:style w:type="paragraph" w:styleId="14">
    <w:name w:val="toc 3"/>
    <w:basedOn w:val="1"/>
    <w:next w:val="1"/>
    <w:unhideWhenUsed/>
    <w:qFormat/>
    <w:uiPriority w:val="39"/>
    <w:pPr>
      <w:ind w:left="300" w:leftChars="300"/>
    </w:pPr>
    <w:rPr>
      <w:rFonts w:cs="Times New Roman"/>
      <w:szCs w:val="22"/>
    </w:rPr>
  </w:style>
  <w:style w:type="paragraph" w:styleId="15">
    <w:name w:val="toc 8"/>
    <w:basedOn w:val="1"/>
    <w:next w:val="1"/>
    <w:unhideWhenUsed/>
    <w:qFormat/>
    <w:uiPriority w:val="39"/>
    <w:pPr>
      <w:ind w:left="2940" w:leftChars="1400"/>
    </w:pPr>
    <w:rPr>
      <w:rFonts w:ascii="Calibri" w:hAnsi="Calibri" w:eastAsia="宋体" w:cs="Times New Roman"/>
      <w:sz w:val="21"/>
      <w:szCs w:val="22"/>
    </w:rPr>
  </w:style>
  <w:style w:type="paragraph" w:styleId="16">
    <w:name w:val="Date"/>
    <w:basedOn w:val="1"/>
    <w:next w:val="1"/>
    <w:link w:val="40"/>
    <w:qFormat/>
    <w:uiPriority w:val="99"/>
    <w:pPr>
      <w:ind w:left="100" w:leftChars="2500"/>
    </w:pPr>
  </w:style>
  <w:style w:type="paragraph" w:styleId="17">
    <w:name w:val="Balloon Text"/>
    <w:basedOn w:val="1"/>
    <w:link w:val="68"/>
    <w:unhideWhenUsed/>
    <w:qFormat/>
    <w:uiPriority w:val="99"/>
    <w:rPr>
      <w:rFonts w:eastAsia="方正仿宋简体" w:cs="Times New Roman"/>
      <w:kern w:val="0"/>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rPr>
      <w:rFonts w:eastAsia="方正黑体_GBK" w:cs="Times New Roman"/>
      <w:szCs w:val="22"/>
    </w:rPr>
  </w:style>
  <w:style w:type="paragraph" w:styleId="21">
    <w:name w:val="toc 4"/>
    <w:basedOn w:val="1"/>
    <w:next w:val="1"/>
    <w:unhideWhenUsed/>
    <w:qFormat/>
    <w:uiPriority w:val="39"/>
    <w:pPr>
      <w:ind w:left="1260" w:leftChars="600"/>
    </w:pPr>
    <w:rPr>
      <w:rFonts w:ascii="Calibri" w:hAnsi="Calibri" w:eastAsia="宋体" w:cs="Times New Roman"/>
      <w:sz w:val="21"/>
      <w:szCs w:val="22"/>
    </w:rPr>
  </w:style>
  <w:style w:type="paragraph" w:styleId="22">
    <w:name w:val="Subtitle"/>
    <w:basedOn w:val="23"/>
    <w:next w:val="12"/>
    <w:link w:val="52"/>
    <w:qFormat/>
    <w:uiPriority w:val="0"/>
    <w:rPr>
      <w:rFonts w:eastAsiaTheme="minorEastAsia"/>
      <w:i/>
      <w:iCs/>
      <w:sz w:val="28"/>
    </w:rPr>
  </w:style>
  <w:style w:type="paragraph" w:customStyle="1" w:styleId="23">
    <w:name w:val="标题1"/>
    <w:basedOn w:val="1"/>
    <w:next w:val="12"/>
    <w:qFormat/>
    <w:uiPriority w:val="0"/>
    <w:pPr>
      <w:keepNext/>
      <w:keepLines/>
      <w:suppressAutoHyphens/>
      <w:overflowPunct w:val="0"/>
      <w:spacing w:before="240" w:after="62"/>
      <w:jc w:val="center"/>
    </w:pPr>
    <w:rPr>
      <w:rFonts w:ascii="Arial" w:hAnsi="Arial" w:eastAsia="宋体" w:cs="Mangal"/>
      <w:b/>
      <w:bCs/>
      <w:szCs w:val="28"/>
      <w:lang w:eastAsia="ar-SA"/>
    </w:rPr>
  </w:style>
  <w:style w:type="paragraph" w:styleId="24">
    <w:name w:val="List"/>
    <w:basedOn w:val="12"/>
    <w:qFormat/>
    <w:uiPriority w:val="0"/>
    <w:rPr>
      <w:rFonts w:cs="Mangal"/>
    </w:rPr>
  </w:style>
  <w:style w:type="paragraph" w:styleId="25">
    <w:name w:val="footnote text"/>
    <w:basedOn w:val="1"/>
    <w:link w:val="47"/>
    <w:qFormat/>
    <w:uiPriority w:val="0"/>
    <w:pPr>
      <w:snapToGrid w:val="0"/>
      <w:jc w:val="left"/>
    </w:pPr>
    <w:rPr>
      <w:rFonts w:eastAsia="宋体" w:cs="Times New Roman"/>
      <w:sz w:val="18"/>
      <w:szCs w:val="18"/>
    </w:rPr>
  </w:style>
  <w:style w:type="paragraph" w:styleId="26">
    <w:name w:val="toc 6"/>
    <w:basedOn w:val="1"/>
    <w:next w:val="1"/>
    <w:unhideWhenUsed/>
    <w:qFormat/>
    <w:uiPriority w:val="39"/>
    <w:pPr>
      <w:ind w:left="2100" w:leftChars="1000"/>
    </w:pPr>
    <w:rPr>
      <w:rFonts w:ascii="Calibri" w:hAnsi="Calibri" w:eastAsia="宋体" w:cs="Times New Roman"/>
      <w:sz w:val="21"/>
      <w:szCs w:val="22"/>
    </w:rPr>
  </w:style>
  <w:style w:type="paragraph" w:styleId="27">
    <w:name w:val="toc 2"/>
    <w:basedOn w:val="1"/>
    <w:next w:val="1"/>
    <w:unhideWhenUsed/>
    <w:qFormat/>
    <w:uiPriority w:val="39"/>
    <w:pPr>
      <w:ind w:left="420" w:leftChars="200"/>
    </w:pPr>
    <w:rPr>
      <w:rFonts w:ascii="Tw Cen MT" w:hAnsi="Tw Cen MT" w:eastAsia="方正楷体_GBK" w:cs="Times New Roman"/>
      <w:szCs w:val="22"/>
    </w:rPr>
  </w:style>
  <w:style w:type="paragraph" w:styleId="28">
    <w:name w:val="toc 9"/>
    <w:basedOn w:val="1"/>
    <w:next w:val="1"/>
    <w:unhideWhenUsed/>
    <w:qFormat/>
    <w:uiPriority w:val="39"/>
    <w:pPr>
      <w:ind w:left="3360" w:leftChars="1600"/>
    </w:pPr>
    <w:rPr>
      <w:rFonts w:ascii="Calibri" w:hAnsi="Calibri" w:eastAsia="宋体" w:cs="Times New Roman"/>
      <w:sz w:val="21"/>
      <w:szCs w:val="22"/>
    </w:rPr>
  </w:style>
  <w:style w:type="paragraph" w:styleId="29">
    <w:name w:val="Title"/>
    <w:basedOn w:val="1"/>
    <w:next w:val="1"/>
    <w:link w:val="41"/>
    <w:qFormat/>
    <w:uiPriority w:val="0"/>
    <w:pPr>
      <w:spacing w:before="240" w:after="60"/>
      <w:jc w:val="center"/>
      <w:outlineLvl w:val="0"/>
    </w:pPr>
    <w:rPr>
      <w:rFonts w:asciiTheme="majorHAnsi" w:hAnsiTheme="majorHAnsi" w:eastAsiaTheme="majorEastAsia" w:cstheme="majorBidi"/>
      <w:b/>
      <w:bCs/>
      <w:szCs w:val="32"/>
    </w:rPr>
  </w:style>
  <w:style w:type="paragraph" w:styleId="30">
    <w:name w:val="annotation subject"/>
    <w:basedOn w:val="11"/>
    <w:next w:val="11"/>
    <w:link w:val="84"/>
    <w:unhideWhenUsed/>
    <w:qFormat/>
    <w:uiPriority w:val="99"/>
    <w:rPr>
      <w:b/>
      <w:bCs/>
    </w:rPr>
  </w:style>
  <w:style w:type="table" w:styleId="32">
    <w:name w:val="Table Grid"/>
    <w:basedOn w:val="31"/>
    <w:qFormat/>
    <w:uiPriority w:val="0"/>
    <w:rPr>
      <w:rFonts w:ascii="Times New Roman" w:hAnsi="Times New Roman" w:eastAsia="方正仿宋简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basedOn w:val="33"/>
    <w:qFormat/>
    <w:uiPriority w:val="0"/>
    <w:rPr>
      <w:color w:val="954F72" w:themeColor="followedHyperlink"/>
      <w:u w:val="single"/>
      <w14:textFill>
        <w14:solidFill>
          <w14:schemeClr w14:val="folHlink"/>
        </w14:solidFill>
      </w14:textFill>
    </w:rPr>
  </w:style>
  <w:style w:type="character" w:styleId="35">
    <w:name w:val="Hyperlink"/>
    <w:basedOn w:val="33"/>
    <w:qFormat/>
    <w:uiPriority w:val="99"/>
    <w:rPr>
      <w:color w:val="0563C1" w:themeColor="hyperlink"/>
      <w:u w:val="single"/>
      <w14:textFill>
        <w14:solidFill>
          <w14:schemeClr w14:val="hlink"/>
        </w14:solidFill>
      </w14:textFill>
    </w:rPr>
  </w:style>
  <w:style w:type="character" w:styleId="36">
    <w:name w:val="annotation reference"/>
    <w:unhideWhenUsed/>
    <w:qFormat/>
    <w:uiPriority w:val="99"/>
    <w:rPr>
      <w:sz w:val="21"/>
      <w:szCs w:val="21"/>
    </w:rPr>
  </w:style>
  <w:style w:type="character" w:styleId="37">
    <w:name w:val="footnote reference"/>
    <w:basedOn w:val="33"/>
    <w:qFormat/>
    <w:uiPriority w:val="0"/>
    <w:rPr>
      <w:vertAlign w:val="superscript"/>
    </w:rPr>
  </w:style>
  <w:style w:type="paragraph" w:customStyle="1" w:styleId="38">
    <w:name w:val="正文首行缩进 21"/>
    <w:qFormat/>
    <w:uiPriority w:val="0"/>
    <w:pPr>
      <w:widowControl w:val="0"/>
      <w:spacing w:after="120"/>
      <w:ind w:left="420" w:leftChars="200"/>
      <w:jc w:val="both"/>
    </w:pPr>
    <w:rPr>
      <w:rFonts w:asciiTheme="minorHAnsi" w:hAnsiTheme="minorHAnsi" w:eastAsiaTheme="minorEastAsia" w:cstheme="minorBidi"/>
      <w:kern w:val="2"/>
      <w:sz w:val="32"/>
      <w:szCs w:val="22"/>
      <w:lang w:val="en-US" w:eastAsia="zh-CN" w:bidi="ar-SA"/>
    </w:rPr>
  </w:style>
  <w:style w:type="character" w:customStyle="1" w:styleId="39">
    <w:name w:val="页眉 字符"/>
    <w:basedOn w:val="33"/>
    <w:link w:val="19"/>
    <w:qFormat/>
    <w:uiPriority w:val="99"/>
    <w:rPr>
      <w:rFonts w:ascii="Calibri" w:hAnsi="Calibri" w:eastAsia="仿宋_GB2312"/>
      <w:kern w:val="2"/>
      <w:sz w:val="18"/>
      <w:szCs w:val="18"/>
    </w:rPr>
  </w:style>
  <w:style w:type="character" w:customStyle="1" w:styleId="40">
    <w:name w:val="日期 字符"/>
    <w:basedOn w:val="33"/>
    <w:link w:val="16"/>
    <w:qFormat/>
    <w:uiPriority w:val="0"/>
    <w:rPr>
      <w:rFonts w:ascii="Calibri" w:hAnsi="Calibri" w:eastAsia="仿宋_GB2312"/>
      <w:kern w:val="2"/>
      <w:sz w:val="32"/>
      <w:szCs w:val="24"/>
    </w:rPr>
  </w:style>
  <w:style w:type="character" w:customStyle="1" w:styleId="41">
    <w:name w:val="标题 字符"/>
    <w:basedOn w:val="33"/>
    <w:link w:val="29"/>
    <w:qFormat/>
    <w:uiPriority w:val="0"/>
    <w:rPr>
      <w:rFonts w:asciiTheme="majorHAnsi" w:hAnsiTheme="majorHAnsi" w:eastAsiaTheme="majorEastAsia" w:cstheme="majorBidi"/>
      <w:b/>
      <w:bCs/>
      <w:kern w:val="2"/>
      <w:sz w:val="32"/>
      <w:szCs w:val="32"/>
    </w:rPr>
  </w:style>
  <w:style w:type="character" w:customStyle="1" w:styleId="42">
    <w:name w:val="标题 1 字符"/>
    <w:basedOn w:val="33"/>
    <w:link w:val="2"/>
    <w:qFormat/>
    <w:uiPriority w:val="0"/>
    <w:rPr>
      <w:rFonts w:ascii="Calibri" w:hAnsi="Calibri" w:eastAsia="方正黑体_GBK"/>
      <w:bCs/>
      <w:kern w:val="44"/>
      <w:sz w:val="32"/>
      <w:szCs w:val="44"/>
    </w:rPr>
  </w:style>
  <w:style w:type="character" w:customStyle="1" w:styleId="43">
    <w:name w:val="标题 2 字符"/>
    <w:basedOn w:val="33"/>
    <w:link w:val="3"/>
    <w:qFormat/>
    <w:uiPriority w:val="0"/>
    <w:rPr>
      <w:rFonts w:eastAsia="方正楷体_GBK" w:asciiTheme="majorHAnsi" w:hAnsiTheme="majorHAnsi" w:cstheme="majorBidi"/>
      <w:bCs/>
      <w:kern w:val="2"/>
      <w:sz w:val="32"/>
      <w:szCs w:val="32"/>
    </w:rPr>
  </w:style>
  <w:style w:type="character" w:customStyle="1" w:styleId="44">
    <w:name w:val="标题 3 字符"/>
    <w:basedOn w:val="33"/>
    <w:link w:val="4"/>
    <w:qFormat/>
    <w:uiPriority w:val="0"/>
    <w:rPr>
      <w:rFonts w:ascii="Times New Roman" w:hAnsi="Times New Roman" w:eastAsia="方正仿宋_GBK"/>
      <w:b/>
      <w:bCs/>
      <w:kern w:val="2"/>
      <w:sz w:val="32"/>
      <w:szCs w:val="32"/>
    </w:rPr>
  </w:style>
  <w:style w:type="paragraph" w:styleId="45">
    <w:name w:val="No Spacing"/>
    <w:qFormat/>
    <w:uiPriority w:val="1"/>
    <w:pPr>
      <w:widowControl w:val="0"/>
      <w:spacing w:line="240" w:lineRule="exact"/>
      <w:jc w:val="both"/>
    </w:pPr>
    <w:rPr>
      <w:rFonts w:ascii="Times New Roman" w:hAnsi="Times New Roman" w:eastAsia="方正仿宋_GBK" w:cs="Times New Roman"/>
      <w:kern w:val="2"/>
      <w:sz w:val="21"/>
      <w:szCs w:val="22"/>
      <w:lang w:val="en-US" w:eastAsia="zh-CN" w:bidi="ar-SA"/>
    </w:rPr>
  </w:style>
  <w:style w:type="character" w:customStyle="1" w:styleId="46">
    <w:name w:val="标题 4 字符"/>
    <w:basedOn w:val="33"/>
    <w:link w:val="5"/>
    <w:qFormat/>
    <w:uiPriority w:val="0"/>
    <w:rPr>
      <w:rFonts w:ascii="Times New Roman" w:hAnsi="Times New Roman" w:eastAsia="方正仿宋_GBK" w:cstheme="majorBidi"/>
      <w:bCs/>
      <w:kern w:val="2"/>
      <w:sz w:val="32"/>
      <w:szCs w:val="28"/>
    </w:rPr>
  </w:style>
  <w:style w:type="character" w:customStyle="1" w:styleId="47">
    <w:name w:val="脚注文本 字符"/>
    <w:basedOn w:val="33"/>
    <w:link w:val="25"/>
    <w:qFormat/>
    <w:uiPriority w:val="0"/>
    <w:rPr>
      <w:rFonts w:ascii="Times New Roman" w:hAnsi="Times New Roman" w:eastAsia="宋体" w:cs="Times New Roman"/>
      <w:kern w:val="2"/>
      <w:sz w:val="18"/>
      <w:szCs w:val="18"/>
    </w:rPr>
  </w:style>
  <w:style w:type="character" w:customStyle="1" w:styleId="48">
    <w:name w:val="标题 1 Char"/>
    <w:qFormat/>
    <w:uiPriority w:val="9"/>
    <w:rPr>
      <w:rFonts w:ascii="宋体" w:hAnsi="宋体" w:cs="宋体"/>
      <w:b/>
      <w:bCs/>
      <w:kern w:val="36"/>
      <w:sz w:val="48"/>
      <w:szCs w:val="48"/>
    </w:rPr>
  </w:style>
  <w:style w:type="character" w:customStyle="1" w:styleId="49">
    <w:name w:val="WW8Num6z0"/>
    <w:qFormat/>
    <w:uiPriority w:val="0"/>
    <w:rPr>
      <w:rFonts w:ascii="Wingdings" w:hAnsi="Wingdings"/>
    </w:rPr>
  </w:style>
  <w:style w:type="character" w:customStyle="1" w:styleId="50">
    <w:name w:val="副标题 Char"/>
    <w:qFormat/>
    <w:uiPriority w:val="0"/>
    <w:rPr>
      <w:rFonts w:ascii="Arial" w:hAnsi="Arial" w:eastAsia="宋体" w:cs="Mangal"/>
      <w:b/>
      <w:bCs/>
      <w:i/>
      <w:iCs/>
      <w:sz w:val="28"/>
      <w:szCs w:val="28"/>
    </w:rPr>
  </w:style>
  <w:style w:type="character" w:customStyle="1" w:styleId="51">
    <w:name w:val="WW8Num10z0"/>
    <w:qFormat/>
    <w:uiPriority w:val="0"/>
    <w:rPr>
      <w:rFonts w:ascii="Wingdings" w:hAnsi="Wingdings"/>
    </w:rPr>
  </w:style>
  <w:style w:type="character" w:customStyle="1" w:styleId="52">
    <w:name w:val="副标题 字符1"/>
    <w:link w:val="22"/>
    <w:qFormat/>
    <w:uiPriority w:val="0"/>
    <w:rPr>
      <w:rFonts w:ascii="Arial" w:hAnsi="Arial" w:cs="Mangal"/>
      <w:b/>
      <w:bCs/>
      <w:i/>
      <w:iCs/>
      <w:kern w:val="2"/>
      <w:sz w:val="28"/>
      <w:szCs w:val="28"/>
      <w:lang w:eastAsia="ar-SA"/>
    </w:rPr>
  </w:style>
  <w:style w:type="character" w:customStyle="1" w:styleId="53">
    <w:name w:val="副标题 字符"/>
    <w:basedOn w:val="33"/>
    <w:qFormat/>
    <w:uiPriority w:val="0"/>
    <w:rPr>
      <w:b/>
      <w:bCs/>
      <w:kern w:val="28"/>
      <w:sz w:val="32"/>
      <w:szCs w:val="32"/>
    </w:rPr>
  </w:style>
  <w:style w:type="character" w:customStyle="1" w:styleId="54">
    <w:name w:val="正文文本 字符"/>
    <w:basedOn w:val="33"/>
    <w:qFormat/>
    <w:uiPriority w:val="0"/>
    <w:rPr>
      <w:rFonts w:ascii="Times New Roman" w:hAnsi="Times New Roman" w:eastAsia="方正仿宋_GBK"/>
      <w:kern w:val="2"/>
      <w:sz w:val="32"/>
      <w:szCs w:val="24"/>
    </w:rPr>
  </w:style>
  <w:style w:type="character" w:customStyle="1" w:styleId="55">
    <w:name w:val="正文文本 字符1"/>
    <w:link w:val="12"/>
    <w:qFormat/>
    <w:uiPriority w:val="0"/>
    <w:rPr>
      <w:rFonts w:ascii="Times New Roman" w:hAnsi="Times New Roman" w:eastAsia="宋体" w:cs="Times New Roman"/>
      <w:kern w:val="2"/>
      <w:sz w:val="21"/>
      <w:szCs w:val="24"/>
      <w:lang w:eastAsia="ar-SA"/>
    </w:rPr>
  </w:style>
  <w:style w:type="character" w:customStyle="1" w:styleId="56">
    <w:name w:val="标题 Char"/>
    <w:qFormat/>
    <w:uiPriority w:val="0"/>
    <w:rPr>
      <w:rFonts w:ascii="Arial" w:hAnsi="Arial" w:eastAsia="宋体" w:cs="Mangal"/>
      <w:b/>
      <w:bCs/>
      <w:sz w:val="32"/>
      <w:szCs w:val="28"/>
    </w:rPr>
  </w:style>
  <w:style w:type="character" w:customStyle="1" w:styleId="57">
    <w:name w:val="WW-Absatz-Standardschriftart"/>
    <w:qFormat/>
    <w:uiPriority w:val="0"/>
  </w:style>
  <w:style w:type="character" w:customStyle="1" w:styleId="58">
    <w:name w:val="默认段落字体1"/>
    <w:qFormat/>
    <w:uiPriority w:val="0"/>
  </w:style>
  <w:style w:type="character" w:customStyle="1" w:styleId="59">
    <w:name w:val="WW8Num5z0"/>
    <w:qFormat/>
    <w:uiPriority w:val="0"/>
    <w:rPr>
      <w:rFonts w:ascii="Wingdings" w:hAnsi="Wingdings"/>
    </w:rPr>
  </w:style>
  <w:style w:type="character" w:customStyle="1" w:styleId="60">
    <w:name w:val="WW8Num8z0"/>
    <w:qFormat/>
    <w:uiPriority w:val="0"/>
    <w:rPr>
      <w:rFonts w:ascii="Wingdings" w:hAnsi="Wingdings"/>
    </w:rPr>
  </w:style>
  <w:style w:type="character" w:customStyle="1" w:styleId="61">
    <w:name w:val="日期 Char"/>
    <w:semiHidden/>
    <w:qFormat/>
    <w:uiPriority w:val="99"/>
    <w:rPr>
      <w:rFonts w:ascii="Times New Roman" w:hAnsi="Times New Roman" w:eastAsia="方正仿宋简体" w:cs="Times New Roman"/>
      <w:sz w:val="32"/>
    </w:rPr>
  </w:style>
  <w:style w:type="character" w:customStyle="1" w:styleId="62">
    <w:name w:val="WW-Absatz-Standardschriftart1"/>
    <w:qFormat/>
    <w:uiPriority w:val="0"/>
  </w:style>
  <w:style w:type="character" w:customStyle="1" w:styleId="63">
    <w:name w:val="页脚 字符1"/>
    <w:link w:val="18"/>
    <w:qFormat/>
    <w:uiPriority w:val="0"/>
    <w:rPr>
      <w:rFonts w:ascii="Times New Roman" w:hAnsi="Times New Roman" w:eastAsia="方正仿宋_GBK"/>
      <w:kern w:val="2"/>
      <w:sz w:val="18"/>
      <w:szCs w:val="24"/>
    </w:rPr>
  </w:style>
  <w:style w:type="character" w:customStyle="1" w:styleId="64">
    <w:name w:val="WW8Num7z0"/>
    <w:qFormat/>
    <w:uiPriority w:val="0"/>
    <w:rPr>
      <w:rFonts w:ascii="Wingdings" w:hAnsi="Wingdings"/>
    </w:rPr>
  </w:style>
  <w:style w:type="character" w:customStyle="1" w:styleId="65">
    <w:name w:val="正文文本 Char"/>
    <w:qFormat/>
    <w:uiPriority w:val="0"/>
    <w:rPr>
      <w:rFonts w:ascii="Times New Roman" w:hAnsi="Times New Roman" w:eastAsia="宋体" w:cs="Times New Roman"/>
      <w:szCs w:val="24"/>
    </w:rPr>
  </w:style>
  <w:style w:type="character" w:customStyle="1" w:styleId="66">
    <w:name w:val="文档结构图 字符1"/>
    <w:link w:val="10"/>
    <w:qFormat/>
    <w:uiPriority w:val="99"/>
    <w:rPr>
      <w:rFonts w:ascii="宋体" w:hAnsi="Times New Roman"/>
      <w:kern w:val="2"/>
      <w:sz w:val="18"/>
      <w:szCs w:val="18"/>
    </w:rPr>
  </w:style>
  <w:style w:type="character" w:customStyle="1" w:styleId="67">
    <w:name w:val="文档结构图 字符"/>
    <w:basedOn w:val="33"/>
    <w:qFormat/>
    <w:uiPriority w:val="0"/>
    <w:rPr>
      <w:rFonts w:ascii="Microsoft YaHei UI" w:hAnsi="Times New Roman" w:eastAsia="Microsoft YaHei UI"/>
      <w:kern w:val="2"/>
      <w:sz w:val="18"/>
      <w:szCs w:val="18"/>
    </w:rPr>
  </w:style>
  <w:style w:type="character" w:customStyle="1" w:styleId="68">
    <w:name w:val="批注框文本 字符1"/>
    <w:link w:val="17"/>
    <w:qFormat/>
    <w:uiPriority w:val="99"/>
    <w:rPr>
      <w:rFonts w:ascii="Times New Roman" w:hAnsi="Times New Roman" w:eastAsia="方正仿宋简体" w:cs="Times New Roman"/>
      <w:sz w:val="18"/>
      <w:szCs w:val="18"/>
    </w:rPr>
  </w:style>
  <w:style w:type="character" w:customStyle="1" w:styleId="69">
    <w:name w:val="批注框文本 字符"/>
    <w:basedOn w:val="33"/>
    <w:qFormat/>
    <w:uiPriority w:val="0"/>
    <w:rPr>
      <w:rFonts w:ascii="Times New Roman" w:hAnsi="Times New Roman" w:eastAsia="方正仿宋_GBK"/>
      <w:kern w:val="2"/>
      <w:sz w:val="18"/>
      <w:szCs w:val="18"/>
    </w:rPr>
  </w:style>
  <w:style w:type="character" w:customStyle="1" w:styleId="70">
    <w:name w:val="Absatz-Standardschriftart"/>
    <w:qFormat/>
    <w:uiPriority w:val="0"/>
  </w:style>
  <w:style w:type="character" w:customStyle="1" w:styleId="71">
    <w:name w:val="标题 Char1"/>
    <w:qFormat/>
    <w:uiPriority w:val="0"/>
    <w:rPr>
      <w:rFonts w:ascii="Arial" w:hAnsi="Arial" w:cs="Mangal"/>
      <w:b/>
      <w:bCs/>
      <w:kern w:val="2"/>
      <w:sz w:val="32"/>
      <w:szCs w:val="28"/>
      <w:lang w:eastAsia="ar-SA"/>
    </w:rPr>
  </w:style>
  <w:style w:type="character" w:customStyle="1" w:styleId="72">
    <w:name w:val="WW-Absatz-Standardschriftart11"/>
    <w:qFormat/>
    <w:uiPriority w:val="0"/>
  </w:style>
  <w:style w:type="character" w:customStyle="1" w:styleId="73">
    <w:name w:val="页眉 Char"/>
    <w:qFormat/>
    <w:uiPriority w:val="0"/>
    <w:rPr>
      <w:rFonts w:ascii="Times New Roman" w:hAnsi="Times New Roman" w:eastAsia="方正仿宋简体" w:cs="Times New Roman"/>
      <w:sz w:val="18"/>
      <w:szCs w:val="18"/>
    </w:rPr>
  </w:style>
  <w:style w:type="character" w:customStyle="1" w:styleId="74">
    <w:name w:val="WW-默认段落字体"/>
    <w:qFormat/>
    <w:uiPriority w:val="0"/>
  </w:style>
  <w:style w:type="paragraph" w:customStyle="1" w:styleId="75">
    <w:name w:val="TOC Heading"/>
    <w:basedOn w:val="2"/>
    <w:next w:val="1"/>
    <w:qFormat/>
    <w:uiPriority w:val="39"/>
    <w:pPr>
      <w:keepNext/>
      <w:keepLines/>
      <w:widowControl/>
      <w:spacing w:before="480" w:line="276" w:lineRule="auto"/>
      <w:jc w:val="left"/>
      <w:outlineLvl w:val="9"/>
    </w:pPr>
    <w:rPr>
      <w:rFonts w:ascii="Cambria" w:hAnsi="Cambria" w:eastAsia="宋体" w:cs="Times New Roman"/>
      <w:b/>
      <w:color w:val="365F91"/>
      <w:kern w:val="0"/>
      <w:sz w:val="28"/>
      <w:szCs w:val="28"/>
    </w:rPr>
  </w:style>
  <w:style w:type="paragraph" w:customStyle="1" w:styleId="76">
    <w:name w:val="!正文(alt+c)"/>
    <w:qFormat/>
    <w:uiPriority w:val="0"/>
    <w:pPr>
      <w:spacing w:line="500" w:lineRule="exact"/>
      <w:ind w:firstLine="420" w:firstLineChars="200"/>
    </w:pPr>
    <w:rPr>
      <w:rFonts w:ascii="Times New Roman" w:hAnsi="Times New Roman" w:eastAsia="仿宋" w:cs="Times New Roman"/>
      <w:sz w:val="24"/>
      <w:szCs w:val="24"/>
      <w:lang w:val="en-US" w:eastAsia="zh-CN" w:bidi="ar-SA"/>
    </w:rPr>
  </w:style>
  <w:style w:type="paragraph" w:customStyle="1" w:styleId="77">
    <w:name w:val="表格内容"/>
    <w:basedOn w:val="1"/>
    <w:qFormat/>
    <w:uiPriority w:val="0"/>
    <w:pPr>
      <w:suppressLineNumbers/>
      <w:suppressAutoHyphens/>
    </w:pPr>
    <w:rPr>
      <w:rFonts w:eastAsia="宋体" w:cs="Times New Roman"/>
      <w:sz w:val="21"/>
      <w:lang w:eastAsia="ar-SA"/>
    </w:rPr>
  </w:style>
  <w:style w:type="paragraph" w:customStyle="1" w:styleId="78">
    <w:name w:val="公式"/>
    <w:basedOn w:val="8"/>
    <w:next w:val="8"/>
    <w:qFormat/>
    <w:uiPriority w:val="0"/>
    <w:pPr>
      <w:tabs>
        <w:tab w:val="left" w:leader="dot" w:pos="7980"/>
      </w:tabs>
      <w:spacing w:line="360" w:lineRule="auto"/>
      <w:ind w:firstLine="200"/>
      <w:jc w:val="left"/>
    </w:pPr>
    <w:rPr>
      <w:rFonts w:eastAsia="宋体"/>
      <w:color w:val="000000"/>
      <w:sz w:val="24"/>
      <w:szCs w:val="24"/>
    </w:rPr>
  </w:style>
  <w:style w:type="paragraph" w:customStyle="1" w:styleId="79">
    <w:name w:val="表格标题"/>
    <w:basedOn w:val="77"/>
    <w:qFormat/>
    <w:uiPriority w:val="0"/>
    <w:pPr>
      <w:jc w:val="center"/>
    </w:pPr>
    <w:rPr>
      <w:b/>
      <w:bCs/>
    </w:rPr>
  </w:style>
  <w:style w:type="paragraph" w:customStyle="1" w:styleId="80">
    <w:name w:val="框内容"/>
    <w:basedOn w:val="12"/>
    <w:qFormat/>
    <w:uiPriority w:val="0"/>
  </w:style>
  <w:style w:type="paragraph" w:customStyle="1" w:styleId="81">
    <w:name w:val="目录"/>
    <w:basedOn w:val="1"/>
    <w:qFormat/>
    <w:uiPriority w:val="0"/>
    <w:pPr>
      <w:suppressLineNumbers/>
      <w:suppressAutoHyphens/>
    </w:pPr>
    <w:rPr>
      <w:rFonts w:eastAsia="宋体" w:cs="Mangal"/>
      <w:sz w:val="21"/>
      <w:lang w:eastAsia="ar-SA"/>
    </w:rPr>
  </w:style>
  <w:style w:type="character" w:customStyle="1" w:styleId="82">
    <w:name w:val="font31"/>
    <w:qFormat/>
    <w:uiPriority w:val="0"/>
    <w:rPr>
      <w:rFonts w:hint="default" w:ascii="Times New Roman" w:hAnsi="Times New Roman" w:cs="Times New Roman"/>
      <w:color w:val="000000"/>
      <w:sz w:val="21"/>
      <w:szCs w:val="21"/>
      <w:u w:val="none"/>
    </w:rPr>
  </w:style>
  <w:style w:type="character" w:customStyle="1" w:styleId="83">
    <w:name w:val="批注文字 字符"/>
    <w:basedOn w:val="33"/>
    <w:link w:val="11"/>
    <w:qFormat/>
    <w:uiPriority w:val="99"/>
    <w:rPr>
      <w:rFonts w:ascii="Times New Roman" w:hAnsi="Times New Roman" w:eastAsia="方正仿宋简体" w:cs="Times New Roman"/>
      <w:kern w:val="2"/>
      <w:sz w:val="32"/>
      <w:szCs w:val="22"/>
    </w:rPr>
  </w:style>
  <w:style w:type="character" w:customStyle="1" w:styleId="84">
    <w:name w:val="批注主题 字符"/>
    <w:basedOn w:val="83"/>
    <w:link w:val="30"/>
    <w:qFormat/>
    <w:uiPriority w:val="99"/>
    <w:rPr>
      <w:rFonts w:ascii="Times New Roman" w:hAnsi="Times New Roman" w:eastAsia="方正仿宋简体" w:cs="Times New Roman"/>
      <w:b/>
      <w:bCs/>
      <w:kern w:val="2"/>
      <w:sz w:val="32"/>
      <w:szCs w:val="22"/>
    </w:rPr>
  </w:style>
  <w:style w:type="character" w:customStyle="1" w:styleId="85">
    <w:name w:val="Unresolved Mention"/>
    <w:semiHidden/>
    <w:unhideWhenUsed/>
    <w:qFormat/>
    <w:uiPriority w:val="99"/>
    <w:rPr>
      <w:color w:val="605E5C"/>
      <w:shd w:val="clear" w:color="auto" w:fill="E1DFDD"/>
    </w:rPr>
  </w:style>
  <w:style w:type="character" w:customStyle="1" w:styleId="86">
    <w:name w:val="font01"/>
    <w:qFormat/>
    <w:uiPriority w:val="0"/>
    <w:rPr>
      <w:rFonts w:hint="eastAsia" w:ascii="方正仿宋_GBK" w:eastAsia="方正仿宋_GBK"/>
      <w:color w:val="000000"/>
      <w:sz w:val="20"/>
      <w:szCs w:val="20"/>
      <w:u w:val="none"/>
    </w:rPr>
  </w:style>
  <w:style w:type="character" w:customStyle="1" w:styleId="87">
    <w:name w:val="font51"/>
    <w:qFormat/>
    <w:uiPriority w:val="0"/>
    <w:rPr>
      <w:rFonts w:hint="eastAsia" w:ascii="方正仿宋_GBK" w:eastAsia="方正仿宋_GBK"/>
      <w:color w:val="000000"/>
      <w:sz w:val="20"/>
      <w:szCs w:val="20"/>
      <w:u w:val="none"/>
      <w:vertAlign w:val="superscript"/>
    </w:rPr>
  </w:style>
  <w:style w:type="character" w:customStyle="1" w:styleId="88">
    <w:name w:val="font41"/>
    <w:qFormat/>
    <w:uiPriority w:val="0"/>
    <w:rPr>
      <w:rFonts w:hint="eastAsia" w:ascii="方正仿宋_GBK" w:eastAsia="方正仿宋_GBK"/>
      <w:color w:val="000000"/>
      <w:sz w:val="20"/>
      <w:szCs w:val="20"/>
      <w:u w:val="none"/>
    </w:rPr>
  </w:style>
  <w:style w:type="character" w:customStyle="1" w:styleId="89">
    <w:name w:val="页脚 字符"/>
    <w:basedOn w:val="33"/>
    <w:qFormat/>
    <w:uiPriority w:val="99"/>
  </w:style>
  <w:style w:type="paragraph" w:styleId="9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4040</Words>
  <Characters>23030</Characters>
  <Lines>191</Lines>
  <Paragraphs>54</Paragraphs>
  <TotalTime>1</TotalTime>
  <ScaleCrop>false</ScaleCrop>
  <LinksUpToDate>false</LinksUpToDate>
  <CharactersWithSpaces>27016</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2021-10-13T01:20:00Z</dcterms:created>
  <dc:creator>chanvictor</dc:creator>
  <cp:lastModifiedBy>hb102-1</cp:lastModifiedBy>
  <dcterms:modified xsi:type="dcterms:W3CDTF">2022-05-27T17:58:14Z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C23A08E695CD4C9ABFDF1A947C72983A</vt:lpwstr>
  </property>
</Properties>
</file>