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552"/>
        <w:rPr>
          <w:rFonts w:ascii="仿宋_GB2312" w:eastAsia="仿宋_GB2312"/>
          <w:sz w:val="28"/>
          <w:szCs w:val="28"/>
        </w:rPr>
      </w:pPr>
      <w:bookmarkStart w:id="0" w:name="_Hlk75783049"/>
      <w:bookmarkEnd w:id="0"/>
    </w:p>
    <w:p>
      <w:pPr>
        <w:spacing w:line="560" w:lineRule="exact"/>
        <w:ind w:firstLine="552"/>
        <w:rPr>
          <w:rFonts w:ascii="仿宋_GB2312" w:eastAsia="仿宋_GB2312"/>
          <w:sz w:val="28"/>
          <w:szCs w:val="28"/>
        </w:rPr>
      </w:pPr>
    </w:p>
    <w:p>
      <w:pPr>
        <w:spacing w:line="560" w:lineRule="exact"/>
        <w:ind w:firstLine="552"/>
        <w:rPr>
          <w:rFonts w:ascii="仿宋_GB2312" w:eastAsia="仿宋_GB2312"/>
          <w:sz w:val="28"/>
          <w:szCs w:val="28"/>
        </w:rPr>
      </w:pPr>
    </w:p>
    <w:p>
      <w:pPr>
        <w:spacing w:line="560" w:lineRule="exact"/>
        <w:ind w:firstLine="0" w:firstLineChars="0"/>
        <w:jc w:val="center"/>
        <w:rPr>
          <w:rFonts w:eastAsia="方正小标宋_GBK"/>
          <w:sz w:val="44"/>
          <w:szCs w:val="28"/>
        </w:rPr>
      </w:pPr>
      <w:r>
        <w:rPr>
          <w:rFonts w:hint="eastAsia" w:eastAsia="方正小标宋_GBK"/>
          <w:sz w:val="44"/>
          <w:szCs w:val="28"/>
        </w:rPr>
        <w:t>重庆市江津区“十四五”畜禽养殖污染</w:t>
      </w:r>
    </w:p>
    <w:p>
      <w:pPr>
        <w:spacing w:line="560" w:lineRule="exact"/>
        <w:ind w:firstLine="0" w:firstLineChars="0"/>
        <w:jc w:val="center"/>
        <w:rPr>
          <w:rFonts w:hint="eastAsia" w:eastAsia="方正小标宋_GBK"/>
          <w:sz w:val="44"/>
          <w:szCs w:val="28"/>
        </w:rPr>
      </w:pPr>
      <w:r>
        <w:rPr>
          <w:rFonts w:hint="eastAsia" w:eastAsia="方正小标宋_GBK"/>
          <w:sz w:val="44"/>
          <w:szCs w:val="28"/>
        </w:rPr>
        <w:t>防治规划</w:t>
      </w:r>
    </w:p>
    <w:p>
      <w:pPr>
        <w:spacing w:line="560" w:lineRule="exact"/>
        <w:ind w:firstLine="0" w:firstLineChars="0"/>
        <w:jc w:val="center"/>
        <w:rPr>
          <w:rFonts w:hint="eastAsia" w:eastAsia="方正小标宋_GBK"/>
          <w:sz w:val="44"/>
          <w:szCs w:val="28"/>
        </w:rPr>
      </w:pPr>
      <w:r>
        <w:rPr>
          <w:rFonts w:hint="eastAsia"/>
        </w:rPr>
        <w:t>（征求意见稿）</w:t>
      </w: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 w:val="44"/>
          <w:szCs w:val="28"/>
        </w:rPr>
      </w:pPr>
    </w:p>
    <w:p>
      <w:pPr>
        <w:spacing w:line="560" w:lineRule="exact"/>
        <w:ind w:firstLine="0" w:firstLineChars="0"/>
        <w:jc w:val="center"/>
        <w:rPr>
          <w:rFonts w:eastAsia="方正小标宋_GBK"/>
          <w:szCs w:val="32"/>
        </w:rPr>
      </w:pPr>
      <w:r>
        <w:rPr>
          <w:rFonts w:hint="eastAsia" w:eastAsia="方正小标宋_GBK"/>
          <w:szCs w:val="32"/>
        </w:rPr>
        <w:t>江津区生态环境局</w:t>
      </w:r>
    </w:p>
    <w:p>
      <w:pPr>
        <w:spacing w:line="560" w:lineRule="exact"/>
        <w:ind w:firstLine="0" w:firstLineChars="0"/>
        <w:jc w:val="center"/>
        <w:rPr>
          <w:rFonts w:eastAsia="方正小标宋_GBK"/>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1985" w:left="1588" w:header="851" w:footer="992" w:gutter="0"/>
          <w:cols w:space="425" w:num="1"/>
          <w:docGrid w:type="linesAndChars" w:linePitch="579" w:charSpace="-849"/>
        </w:sectPr>
      </w:pPr>
      <w:r>
        <w:rPr>
          <w:rFonts w:hint="eastAsia" w:eastAsia="方正小标宋_GBK"/>
          <w:szCs w:val="32"/>
        </w:rPr>
        <w:t>二〇二一年八月</w:t>
      </w:r>
    </w:p>
    <w:p>
      <w:pPr>
        <w:spacing w:after="115" w:afterLines="20" w:line="560" w:lineRule="exact"/>
        <w:ind w:firstLine="0" w:firstLineChars="0"/>
        <w:jc w:val="center"/>
        <w:outlineLvl w:val="0"/>
        <w:rPr>
          <w:rFonts w:eastAsia="方正黑体_GBK"/>
          <w:szCs w:val="32"/>
        </w:rPr>
      </w:pPr>
      <w:bookmarkStart w:id="1" w:name="_Toc78818690"/>
      <w:bookmarkStart w:id="2" w:name="_Toc78817330"/>
      <w:bookmarkStart w:id="3" w:name="_Toc79159633"/>
      <w:bookmarkStart w:id="4" w:name="_Toc79138103"/>
      <w:bookmarkStart w:id="5" w:name="_Toc79166977"/>
      <w:r>
        <w:rPr>
          <w:rFonts w:hint="eastAsia" w:eastAsia="方正黑体_GBK"/>
          <w:szCs w:val="32"/>
        </w:rPr>
        <w:t xml:space="preserve">前 </w:t>
      </w:r>
      <w:r>
        <w:rPr>
          <w:rFonts w:eastAsia="方正黑体_GBK"/>
          <w:szCs w:val="32"/>
        </w:rPr>
        <w:t xml:space="preserve"> </w:t>
      </w:r>
      <w:r>
        <w:rPr>
          <w:rFonts w:hint="eastAsia" w:eastAsia="方正黑体_GBK"/>
          <w:szCs w:val="32"/>
        </w:rPr>
        <w:t>言</w:t>
      </w:r>
      <w:bookmarkEnd w:id="1"/>
      <w:bookmarkEnd w:id="2"/>
      <w:bookmarkEnd w:id="3"/>
      <w:bookmarkEnd w:id="4"/>
      <w:bookmarkEnd w:id="5"/>
    </w:p>
    <w:p>
      <w:pPr>
        <w:ind w:firstLine="632"/>
      </w:pPr>
      <w:r>
        <w:rPr>
          <w:rFonts w:hint="eastAsia"/>
        </w:rPr>
        <w:t>畜禽养殖业污染防治工作是生态环境综合整治的重要任务，是实现农业现代化和供给侧改革的重要手段，也是美丽乡村和生态文明建设的必然要求。“十三五”期间，江津区深入贯彻落实《畜禽规模养殖污染防治条例》（国务院令〔2013〕第643号）、《重庆市人民政府办公厅关于促进畜牧业高质量发展的实施意见》（渝府办发〔2020〕139号）等文件要求，通过严格整治畜禽养殖场、加强污染综合治理、大力发展生态养殖等治改结合的方式严防畜禽养殖污染，圆满完成畜禽养殖三区划定调整及禁养区畜禽养殖场关闭搬迁任务，污染防治成效显著。但当前畜禽养殖业废弃物产生量大、种养结合程度低、部分地区畜禽养殖布局不够合理等问题依然存在，区域生态环境受到了一定威胁。</w:t>
      </w:r>
    </w:p>
    <w:p>
      <w:pPr>
        <w:ind w:firstLine="632"/>
      </w:pPr>
      <w:r>
        <w:rPr>
          <w:rFonts w:hint="eastAsia"/>
        </w:rPr>
        <w:t>为贯彻实施《重庆市江津区关于促进畜牧业高质量发展的实施方案》（江津府办发〔2021〕66号）等相关文件要求，切实促进全区畜禽养殖业可持续发展，编制《重庆市江津区“十四五”畜禽养殖污染防治规划》。本规划立足于江津区实际情况，制定“十四五”期间畜禽养殖污染防治工作主要目标，从优化产业布局、强化长效管理、实现废弃物资源化利用、提升监管水平和建立种养循环示范工程等方面提出具体工作任务和保障措施，进一步提高全区污染防治水平，对推动全区畜禽养殖可持续发展具有重要意义。</w:t>
      </w:r>
    </w:p>
    <w:p>
      <w:pPr>
        <w:ind w:firstLine="632"/>
      </w:pPr>
    </w:p>
    <w:p>
      <w:pPr>
        <w:spacing w:line="560" w:lineRule="exact"/>
        <w:ind w:firstLine="552"/>
        <w:outlineLvl w:val="0"/>
        <w:rPr>
          <w:rFonts w:eastAsia="方正黑体_GBK"/>
          <w:sz w:val="28"/>
          <w:szCs w:val="28"/>
        </w:rPr>
        <w:sectPr>
          <w:pgSz w:w="11906" w:h="16838"/>
          <w:pgMar w:top="2098" w:right="1474" w:bottom="1985" w:left="1588" w:header="851" w:footer="992" w:gutter="0"/>
          <w:pgNumType w:start="1"/>
          <w:cols w:space="425" w:num="1"/>
          <w:docGrid w:type="linesAndChars" w:linePitch="579" w:charSpace="-849"/>
        </w:sectPr>
      </w:pPr>
    </w:p>
    <w:p>
      <w:pPr>
        <w:spacing w:line="560" w:lineRule="exact"/>
        <w:ind w:firstLine="0" w:firstLineChars="0"/>
        <w:jc w:val="center"/>
        <w:rPr>
          <w:rFonts w:eastAsia="方正小标宋_GBK"/>
          <w:szCs w:val="32"/>
        </w:rPr>
      </w:pPr>
    </w:p>
    <w:sdt>
      <w:sdtPr>
        <w:rPr>
          <w:rFonts w:ascii="Times New Roman" w:hAnsi="Times New Roman" w:eastAsia="方正仿宋_GBK" w:cstheme="minorBidi"/>
          <w:color w:val="auto"/>
          <w:kern w:val="2"/>
          <w:szCs w:val="22"/>
          <w:lang w:val="zh-CN"/>
        </w:rPr>
        <w:id w:val="675610542"/>
        <w:docPartObj>
          <w:docPartGallery w:val="Table of Contents"/>
          <w:docPartUnique/>
        </w:docPartObj>
      </w:sdtPr>
      <w:sdtEndPr>
        <w:rPr>
          <w:rFonts w:ascii="Times New Roman" w:hAnsi="Times New Roman" w:eastAsia="方正仿宋_GBK" w:cstheme="minorBidi"/>
          <w:b/>
          <w:bCs/>
          <w:color w:val="auto"/>
          <w:kern w:val="2"/>
          <w:szCs w:val="22"/>
          <w:lang w:val="zh-CN"/>
        </w:rPr>
      </w:sdtEndPr>
      <w:sdtContent>
        <w:p>
          <w:pPr>
            <w:pStyle w:val="22"/>
            <w:jc w:val="center"/>
          </w:pPr>
          <w:r>
            <w:rPr>
              <w:rFonts w:ascii="黑体" w:hAnsi="黑体" w:eastAsia="黑体"/>
              <w:color w:val="auto"/>
              <w:lang w:val="zh-CN"/>
            </w:rPr>
            <w:t>目  录</w:t>
          </w: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"_Toc79166978" </w:instrText>
          </w:r>
          <w:r>
            <w:fldChar w:fldCharType="separate"/>
          </w:r>
          <w:r>
            <w:rPr>
              <w:rStyle w:val="13"/>
              <w:rFonts w:eastAsia="方正黑体_GBK"/>
            </w:rPr>
            <w:t>一、畜禽养殖污染防治形势分析</w:t>
          </w:r>
          <w:r>
            <w:tab/>
          </w:r>
          <w:r>
            <w:fldChar w:fldCharType="begin"/>
          </w:r>
          <w:r>
            <w:instrText xml:space="preserve"> PAGEREF _Toc79166978 \h </w:instrText>
          </w:r>
          <w:r>
            <w:fldChar w:fldCharType="separate"/>
          </w:r>
          <w:r>
            <w:t>1</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"_Toc79166979" </w:instrText>
          </w:r>
          <w:r>
            <w:fldChar w:fldCharType="separate"/>
          </w:r>
          <w:r>
            <w:rPr>
              <w:rStyle w:val="13"/>
              <w:rFonts w:eastAsia="方正楷体_GBK"/>
            </w:rPr>
            <w:t>（一）“十三五”畜禽养殖污染防治成效显著</w:t>
          </w:r>
          <w:r>
            <w:tab/>
          </w:r>
          <w:r>
            <w:fldChar w:fldCharType="begin"/>
          </w:r>
          <w:r>
            <w:instrText xml:space="preserve"> PAGEREF _Toc79166979 \h </w:instrText>
          </w:r>
          <w:r>
            <w:fldChar w:fldCharType="separate"/>
          </w:r>
          <w:r>
            <w:t>1</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"_Toc79166980" </w:instrText>
          </w:r>
          <w:r>
            <w:fldChar w:fldCharType="separate"/>
          </w:r>
          <w:r>
            <w:rPr>
              <w:rStyle w:val="13"/>
              <w:rFonts w:eastAsia="方正楷体_GBK"/>
            </w:rPr>
            <w:t>（二）“十四五”畜禽养殖污染防治的机遇和挑战</w:t>
          </w:r>
          <w:r>
            <w:tab/>
          </w:r>
          <w:r>
            <w:fldChar w:fldCharType="begin"/>
          </w:r>
          <w:r>
            <w:instrText xml:space="preserve"> PAGEREF _Toc79166980 \h </w:instrText>
          </w:r>
          <w:r>
            <w:fldChar w:fldCharType="separate"/>
          </w:r>
          <w:r>
            <w:t>3</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"_Toc79166981" </w:instrText>
          </w:r>
          <w:r>
            <w:fldChar w:fldCharType="separate"/>
          </w:r>
          <w:r>
            <w:rPr>
              <w:rStyle w:val="13"/>
              <w:rFonts w:eastAsia="方正黑体_GBK"/>
            </w:rPr>
            <w:t>二、畜禽养殖现状分析</w:t>
          </w:r>
          <w:r>
            <w:tab/>
          </w:r>
          <w:r>
            <w:fldChar w:fldCharType="begin"/>
          </w:r>
          <w:r>
            <w:instrText xml:space="preserve"> PAGEREF _Toc79166981 \h </w:instrText>
          </w:r>
          <w:r>
            <w:fldChar w:fldCharType="separate"/>
          </w:r>
          <w:r>
            <w:t>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"_Toc79166982" </w:instrText>
          </w:r>
          <w:r>
            <w:fldChar w:fldCharType="separate"/>
          </w:r>
          <w:r>
            <w:rPr>
              <w:rStyle w:val="13"/>
              <w:rFonts w:eastAsia="方正楷体_GBK"/>
            </w:rPr>
            <w:t>（一）畜禽养殖规模现状分析</w:t>
          </w:r>
          <w:r>
            <w:tab/>
          </w:r>
          <w:r>
            <w:fldChar w:fldCharType="begin"/>
          </w:r>
          <w:r>
            <w:instrText xml:space="preserve"> PAGEREF _Toc79166982 \h </w:instrText>
          </w:r>
          <w:r>
            <w:fldChar w:fldCharType="separate"/>
          </w:r>
          <w:r>
            <w:t>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"_Toc79166983" </w:instrText>
          </w:r>
          <w:r>
            <w:fldChar w:fldCharType="separate"/>
          </w:r>
          <w:r>
            <w:rPr>
              <w:rStyle w:val="13"/>
              <w:rFonts w:eastAsia="方正楷体_GBK"/>
            </w:rPr>
            <w:t>（二）江津区畜禽养殖“三区”现状分析</w:t>
          </w:r>
          <w:r>
            <w:tab/>
          </w:r>
          <w:r>
            <w:fldChar w:fldCharType="begin"/>
          </w:r>
          <w:r>
            <w:instrText xml:space="preserve"> PAGEREF _Toc79166983 \h </w:instrText>
          </w:r>
          <w:r>
            <w:fldChar w:fldCharType="separate"/>
          </w:r>
          <w:r>
            <w:t>10</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"_Toc79166984" </w:instrText>
          </w:r>
          <w:r>
            <w:fldChar w:fldCharType="separate"/>
          </w:r>
          <w:r>
            <w:rPr>
              <w:rStyle w:val="13"/>
              <w:rFonts w:eastAsia="方正楷体_GBK"/>
            </w:rPr>
            <w:t>（三）污染物产生情况分析</w:t>
          </w:r>
          <w:r>
            <w:tab/>
          </w:r>
          <w:r>
            <w:fldChar w:fldCharType="begin"/>
          </w:r>
          <w:r>
            <w:instrText xml:space="preserve"> PAGEREF _Toc79166984 \h </w:instrText>
          </w:r>
          <w:r>
            <w:fldChar w:fldCharType="separate"/>
          </w:r>
          <w:r>
            <w:t>16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"_Toc79166985" </w:instrText>
          </w:r>
          <w:r>
            <w:fldChar w:fldCharType="separate"/>
          </w:r>
          <w:r>
            <w:rPr>
              <w:rStyle w:val="13"/>
              <w:rFonts w:eastAsia="方正楷体_GBK"/>
            </w:rPr>
            <w:t>（四）畜禽粪污土地承载力及养殖环境容量分析</w:t>
          </w:r>
          <w:r>
            <w:tab/>
          </w:r>
          <w:r>
            <w:fldChar w:fldCharType="begin"/>
          </w:r>
          <w:r>
            <w:instrText xml:space="preserve"> PAGEREF _Toc79166985 \h </w:instrText>
          </w:r>
          <w:r>
            <w:fldChar w:fldCharType="separate"/>
          </w:r>
          <w:r>
            <w:t>31</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"_Toc79166986" </w:instrText>
          </w:r>
          <w:r>
            <w:fldChar w:fldCharType="separate"/>
          </w:r>
          <w:r>
            <w:rPr>
              <w:rStyle w:val="13"/>
              <w:rFonts w:eastAsia="方正楷体_GBK"/>
            </w:rPr>
            <w:t>（五）畜禽养殖污染防治现状</w:t>
          </w:r>
          <w:r>
            <w:tab/>
          </w:r>
          <w:r>
            <w:fldChar w:fldCharType="begin"/>
          </w:r>
          <w:r>
            <w:instrText xml:space="preserve"> PAGEREF _Toc79166986 \h </w:instrText>
          </w:r>
          <w:r>
            <w:fldChar w:fldCharType="separate"/>
          </w:r>
          <w:r>
            <w:t>34</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"_Toc79166987" </w:instrText>
          </w:r>
          <w:r>
            <w:fldChar w:fldCharType="separate"/>
          </w:r>
          <w:r>
            <w:rPr>
              <w:rStyle w:val="13"/>
              <w:rFonts w:eastAsia="方正黑体_GBK"/>
            </w:rPr>
            <w:t>三、指导思想、基本原则、主要目标</w:t>
          </w:r>
          <w:r>
            <w:tab/>
          </w:r>
          <w:r>
            <w:fldChar w:fldCharType="begin"/>
          </w:r>
          <w:r>
            <w:instrText xml:space="preserve"> PAGEREF _Toc79166987 \h </w:instrText>
          </w:r>
          <w:r>
            <w:fldChar w:fldCharType="separate"/>
          </w:r>
          <w:r>
            <w:t>35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"_Toc79166988" </w:instrText>
          </w:r>
          <w:r>
            <w:fldChar w:fldCharType="separate"/>
          </w:r>
          <w:r>
            <w:rPr>
              <w:rStyle w:val="13"/>
              <w:rFonts w:eastAsia="方正楷体_GBK"/>
            </w:rPr>
            <w:t>（一）指导思想</w:t>
          </w:r>
          <w:r>
            <w:tab/>
          </w:r>
          <w:r>
            <w:fldChar w:fldCharType="begin"/>
          </w:r>
          <w:r>
            <w:instrText xml:space="preserve"> PAGEREF _Toc79166988 \h </w:instrText>
          </w:r>
          <w:r>
            <w:fldChar w:fldCharType="separate"/>
          </w:r>
          <w:r>
            <w:t>35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"_Toc79166989" </w:instrText>
          </w:r>
          <w:r>
            <w:fldChar w:fldCharType="separate"/>
          </w:r>
          <w:r>
            <w:rPr>
              <w:rStyle w:val="13"/>
              <w:rFonts w:eastAsia="方正楷体_GBK"/>
            </w:rPr>
            <w:t>（二）基本原则</w:t>
          </w:r>
          <w:r>
            <w:tab/>
          </w:r>
          <w:r>
            <w:fldChar w:fldCharType="begin"/>
          </w:r>
          <w:r>
            <w:instrText xml:space="preserve"> PAGEREF _Toc79166989 \h </w:instrText>
          </w:r>
          <w:r>
            <w:fldChar w:fldCharType="separate"/>
          </w:r>
          <w:r>
            <w:t>36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"_Toc79166990" </w:instrText>
          </w:r>
          <w:r>
            <w:fldChar w:fldCharType="separate"/>
          </w:r>
          <w:r>
            <w:rPr>
              <w:rStyle w:val="13"/>
              <w:rFonts w:eastAsia="方正楷体_GBK"/>
            </w:rPr>
            <w:t>（三）编制依据</w:t>
          </w:r>
          <w:r>
            <w:tab/>
          </w:r>
          <w:r>
            <w:fldChar w:fldCharType="begin"/>
          </w:r>
          <w:r>
            <w:instrText xml:space="preserve"> PAGEREF _Toc79166990 \h </w:instrText>
          </w:r>
          <w:r>
            <w:fldChar w:fldCharType="separate"/>
          </w:r>
          <w:r>
            <w:t>37</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"_Toc79166991" </w:instrText>
          </w:r>
          <w:r>
            <w:fldChar w:fldCharType="separate"/>
          </w:r>
          <w:r>
            <w:rPr>
              <w:rStyle w:val="13"/>
              <w:rFonts w:eastAsia="方正楷体_GBK"/>
            </w:rPr>
            <w:t>（四）规划目标</w:t>
          </w:r>
          <w:r>
            <w:tab/>
          </w:r>
          <w:r>
            <w:fldChar w:fldCharType="begin"/>
          </w:r>
          <w:r>
            <w:instrText xml:space="preserve"> PAGEREF _Toc79166991 \h </w:instrText>
          </w:r>
          <w:r>
            <w:fldChar w:fldCharType="separate"/>
          </w:r>
          <w:r>
            <w:t>39</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"_Toc79166992" </w:instrText>
          </w:r>
          <w:r>
            <w:fldChar w:fldCharType="separate"/>
          </w:r>
          <w:r>
            <w:rPr>
              <w:rStyle w:val="13"/>
              <w:rFonts w:eastAsia="方正黑体_GBK"/>
            </w:rPr>
            <w:t>四、主要任务</w:t>
          </w:r>
          <w:r>
            <w:tab/>
          </w:r>
          <w:r>
            <w:fldChar w:fldCharType="begin"/>
          </w:r>
          <w:r>
            <w:instrText xml:space="preserve"> PAGEREF _Toc79166992 \h </w:instrText>
          </w:r>
          <w:r>
            <w:fldChar w:fldCharType="separate"/>
          </w:r>
          <w:r>
            <w:t>39</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"_Toc79166993" </w:instrText>
          </w:r>
          <w:r>
            <w:fldChar w:fldCharType="separate"/>
          </w:r>
          <w:r>
            <w:rPr>
              <w:rStyle w:val="13"/>
              <w:rFonts w:eastAsia="方正楷体_GBK"/>
            </w:rPr>
            <w:t>（一）强化源头管控，推行畜牧业融合发展</w:t>
          </w:r>
          <w:r>
            <w:tab/>
          </w:r>
          <w:r>
            <w:fldChar w:fldCharType="begin"/>
          </w:r>
          <w:r>
            <w:instrText xml:space="preserve"> PAGEREF _Toc79166993 \h </w:instrText>
          </w:r>
          <w:r>
            <w:fldChar w:fldCharType="separate"/>
          </w:r>
          <w:r>
            <w:t>39</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"_Toc79166994" </w:instrText>
          </w:r>
          <w:r>
            <w:fldChar w:fldCharType="separate"/>
          </w:r>
          <w:r>
            <w:rPr>
              <w:rStyle w:val="13"/>
              <w:rFonts w:eastAsia="方正楷体_GBK"/>
            </w:rPr>
            <w:t>（二）坚持精准治污，抓好畜禽养殖产业污染治理</w:t>
          </w:r>
          <w:r>
            <w:tab/>
          </w:r>
          <w:r>
            <w:fldChar w:fldCharType="begin"/>
          </w:r>
          <w:r>
            <w:instrText xml:space="preserve"> PAGEREF _Toc79166994 \h </w:instrText>
          </w:r>
          <w:r>
            <w:fldChar w:fldCharType="separate"/>
          </w:r>
          <w:r>
            <w:t>42</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"_Toc79166995" </w:instrText>
          </w:r>
          <w:r>
            <w:fldChar w:fldCharType="separate"/>
          </w:r>
          <w:r>
            <w:rPr>
              <w:rStyle w:val="13"/>
              <w:rFonts w:eastAsia="方正楷体_GBK"/>
            </w:rPr>
            <w:t>（三）提高技术水平，强化畜禽养殖废弃物处理处置</w:t>
          </w:r>
          <w:r>
            <w:tab/>
          </w:r>
          <w:r>
            <w:fldChar w:fldCharType="begin"/>
          </w:r>
          <w:r>
            <w:instrText xml:space="preserve"> PAGEREF _Toc79166995 \h </w:instrText>
          </w:r>
          <w:r>
            <w:fldChar w:fldCharType="separate"/>
          </w:r>
          <w:r>
            <w:t>45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"_Toc79166996" </w:instrText>
          </w:r>
          <w:r>
            <w:fldChar w:fldCharType="separate"/>
          </w:r>
          <w:r>
            <w:rPr>
              <w:rStyle w:val="13"/>
              <w:rFonts w:eastAsia="方正楷体_GBK"/>
            </w:rPr>
            <w:t>（四）加强环境监管能力建设，提升科学和智慧治污水平</w:t>
          </w:r>
          <w:r>
            <w:tab/>
          </w:r>
          <w:r>
            <w:fldChar w:fldCharType="begin"/>
          </w:r>
          <w:r>
            <w:instrText xml:space="preserve"> PAGEREF _Toc79166996 \h </w:instrText>
          </w:r>
          <w:r>
            <w:fldChar w:fldCharType="separate"/>
          </w:r>
          <w:r>
            <w:t>48</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"_Toc79166997" </w:instrText>
          </w:r>
          <w:r>
            <w:fldChar w:fldCharType="separate"/>
          </w:r>
          <w:r>
            <w:rPr>
              <w:rStyle w:val="13"/>
              <w:rFonts w:eastAsia="方正黑体_GBK"/>
            </w:rPr>
            <w:t>五、谋划一批重点工程</w:t>
          </w:r>
          <w:r>
            <w:tab/>
          </w:r>
          <w:r>
            <w:fldChar w:fldCharType="begin"/>
          </w:r>
          <w:r>
            <w:instrText xml:space="preserve"> PAGEREF _Toc79166997 \h </w:instrText>
          </w:r>
          <w:r>
            <w:fldChar w:fldCharType="separate"/>
          </w:r>
          <w:r>
            <w:t>50</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"_Toc79166998" </w:instrText>
          </w:r>
          <w:r>
            <w:fldChar w:fldCharType="separate"/>
          </w:r>
          <w:r>
            <w:rPr>
              <w:rStyle w:val="13"/>
              <w:rFonts w:eastAsia="方正楷体_GBK"/>
            </w:rPr>
            <w:t>（一）重点项目及投资估算</w:t>
          </w:r>
          <w:r>
            <w:tab/>
          </w:r>
          <w:r>
            <w:fldChar w:fldCharType="begin"/>
          </w:r>
          <w:r>
            <w:instrText xml:space="preserve"> PAGEREF _Toc79166998 \h </w:instrText>
          </w:r>
          <w:r>
            <w:fldChar w:fldCharType="separate"/>
          </w:r>
          <w:r>
            <w:t>50</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"_Toc79166999" </w:instrText>
          </w:r>
          <w:r>
            <w:fldChar w:fldCharType="separate"/>
          </w:r>
          <w:r>
            <w:rPr>
              <w:rStyle w:val="13"/>
              <w:rFonts w:eastAsia="方正楷体_GBK"/>
            </w:rPr>
            <w:t>（二）工程实施计划</w:t>
          </w:r>
          <w:r>
            <w:tab/>
          </w:r>
          <w:r>
            <w:fldChar w:fldCharType="begin"/>
          </w:r>
          <w:r>
            <w:instrText xml:space="preserve"> PAGEREF _Toc79166999 \h </w:instrText>
          </w:r>
          <w:r>
            <w:fldChar w:fldCharType="separate"/>
          </w:r>
          <w:r>
            <w:t>53</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"_Toc79167000" </w:instrText>
          </w:r>
          <w:r>
            <w:fldChar w:fldCharType="separate"/>
          </w:r>
          <w:r>
            <w:rPr>
              <w:rStyle w:val="13"/>
              <w:rFonts w:eastAsia="方正楷体_GBK"/>
            </w:rPr>
            <w:t>（三）预期效益分析</w:t>
          </w:r>
          <w:r>
            <w:tab/>
          </w:r>
          <w:r>
            <w:fldChar w:fldCharType="begin"/>
          </w:r>
          <w:r>
            <w:instrText xml:space="preserve"> PAGEREF _Toc79167000 \h </w:instrText>
          </w:r>
          <w:r>
            <w:fldChar w:fldCharType="separate"/>
          </w:r>
          <w:r>
            <w:t>54</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"_Toc79167001" </w:instrText>
          </w:r>
          <w:r>
            <w:fldChar w:fldCharType="separate"/>
          </w:r>
          <w:r>
            <w:rPr>
              <w:rStyle w:val="13"/>
              <w:rFonts w:eastAsia="方正黑体_GBK"/>
            </w:rPr>
            <w:t>六、保障措施</w:t>
          </w:r>
          <w:r>
            <w:tab/>
          </w:r>
          <w:r>
            <w:fldChar w:fldCharType="begin"/>
          </w:r>
          <w:r>
            <w:instrText xml:space="preserve"> PAGEREF _Toc79167001 \h </w:instrText>
          </w:r>
          <w:r>
            <w:fldChar w:fldCharType="separate"/>
          </w:r>
          <w:r>
            <w:t>55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"_Toc79167002" </w:instrText>
          </w:r>
          <w:r>
            <w:fldChar w:fldCharType="separate"/>
          </w:r>
          <w:r>
            <w:rPr>
              <w:rStyle w:val="13"/>
              <w:rFonts w:eastAsia="方正楷体_GBK"/>
            </w:rPr>
            <w:t>（一）加强组织领导</w:t>
          </w:r>
          <w:r>
            <w:tab/>
          </w:r>
          <w:r>
            <w:fldChar w:fldCharType="begin"/>
          </w:r>
          <w:r>
            <w:instrText xml:space="preserve"> PAGEREF _Toc79167002 \h </w:instrText>
          </w:r>
          <w:r>
            <w:fldChar w:fldCharType="separate"/>
          </w:r>
          <w:r>
            <w:t>55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"_Toc79167003" </w:instrText>
          </w:r>
          <w:r>
            <w:fldChar w:fldCharType="separate"/>
          </w:r>
          <w:r>
            <w:rPr>
              <w:rStyle w:val="13"/>
              <w:rFonts w:eastAsia="方正楷体_GBK"/>
            </w:rPr>
            <w:t>（二）强化监督管理</w:t>
          </w:r>
          <w:r>
            <w:tab/>
          </w:r>
          <w:r>
            <w:fldChar w:fldCharType="begin"/>
          </w:r>
          <w:r>
            <w:instrText xml:space="preserve"> PAGEREF _Toc79167003 \h </w:instrText>
          </w:r>
          <w:r>
            <w:fldChar w:fldCharType="separate"/>
          </w:r>
          <w:r>
            <w:t>56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"_Toc79167004" </w:instrText>
          </w:r>
          <w:r>
            <w:fldChar w:fldCharType="separate"/>
          </w:r>
          <w:r>
            <w:rPr>
              <w:rStyle w:val="13"/>
              <w:rFonts w:eastAsia="方正楷体_GBK"/>
            </w:rPr>
            <w:t>（三）加大政策和技术支撑</w:t>
          </w:r>
          <w:r>
            <w:tab/>
          </w:r>
          <w:r>
            <w:fldChar w:fldCharType="begin"/>
          </w:r>
          <w:r>
            <w:instrText xml:space="preserve"> PAGEREF _Toc79167004 \h </w:instrText>
          </w:r>
          <w:r>
            <w:fldChar w:fldCharType="separate"/>
          </w:r>
          <w:r>
            <w:t>56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"_Toc79167005" </w:instrText>
          </w:r>
          <w:r>
            <w:fldChar w:fldCharType="separate"/>
          </w:r>
          <w:r>
            <w:rPr>
              <w:rStyle w:val="13"/>
              <w:rFonts w:eastAsia="方正楷体_GBK"/>
            </w:rPr>
            <w:t>（四）加强宣教教育</w:t>
          </w:r>
          <w:r>
            <w:tab/>
          </w:r>
          <w:r>
            <w:fldChar w:fldCharType="begin"/>
          </w:r>
          <w:r>
            <w:instrText xml:space="preserve"> PAGEREF _Toc79167005 \h </w:instrText>
          </w:r>
          <w:r>
            <w:fldChar w:fldCharType="separate"/>
          </w:r>
          <w:r>
            <w:t>57</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"_Toc79167006" </w:instrText>
          </w:r>
          <w:r>
            <w:fldChar w:fldCharType="separate"/>
          </w:r>
          <w:r>
            <w:rPr>
              <w:rStyle w:val="13"/>
              <w:rFonts w:eastAsia="方正黑体_GBK" w:cs="Times New Roman"/>
            </w:rPr>
            <w:t>附件</w:t>
          </w:r>
          <w:r>
            <w:tab/>
          </w:r>
          <w:r>
            <w:fldChar w:fldCharType="begin"/>
          </w:r>
          <w:r>
            <w:instrText xml:space="preserve"> PAGEREF _Toc79167006 \h </w:instrText>
          </w:r>
          <w:r>
            <w:fldChar w:fldCharType="separate"/>
          </w:r>
          <w:r>
            <w:t>58</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"_Toc79167007" </w:instrText>
          </w:r>
          <w:r>
            <w:fldChar w:fldCharType="separate"/>
          </w:r>
          <w:r>
            <w:rPr>
              <w:rStyle w:val="13"/>
              <w:rFonts w:eastAsia="方正楷体_GBK"/>
            </w:rPr>
            <w:t>附件1  污染物产生情况计算方法说明</w:t>
          </w:r>
          <w:r>
            <w:tab/>
          </w:r>
          <w:r>
            <w:fldChar w:fldCharType="begin"/>
          </w:r>
          <w:r>
            <w:instrText xml:space="preserve"> PAGEREF _Toc79167007 \h </w:instrText>
          </w:r>
          <w:r>
            <w:fldChar w:fldCharType="separate"/>
          </w:r>
          <w:r>
            <w:t>58</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"_Toc79167008" </w:instrText>
          </w:r>
          <w:r>
            <w:fldChar w:fldCharType="separate"/>
          </w:r>
          <w:r>
            <w:rPr>
              <w:rStyle w:val="13"/>
              <w:rFonts w:eastAsia="方正楷体_GBK"/>
            </w:rPr>
            <w:t>附件2  土地承载力计算方法说明</w:t>
          </w:r>
          <w:r>
            <w:tab/>
          </w:r>
          <w:r>
            <w:fldChar w:fldCharType="begin"/>
          </w:r>
          <w:r>
            <w:instrText xml:space="preserve"> PAGEREF _Toc79167008 \h </w:instrText>
          </w:r>
          <w:r>
            <w:fldChar w:fldCharType="separate"/>
          </w:r>
          <w:r>
            <w:t>60</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"_Toc79167009" </w:instrText>
          </w:r>
          <w:r>
            <w:fldChar w:fldCharType="separate"/>
          </w:r>
          <w:r>
            <w:rPr>
              <w:rStyle w:val="13"/>
              <w:rFonts w:eastAsia="方正黑体_GBK" w:cs="Times New Roman"/>
            </w:rPr>
            <w:t>附表</w:t>
          </w:r>
          <w:r>
            <w:tab/>
          </w:r>
          <w:r>
            <w:fldChar w:fldCharType="begin"/>
          </w:r>
          <w:r>
            <w:instrText xml:space="preserve"> PAGEREF _Toc79167009 \h </w:instrText>
          </w:r>
          <w:r>
            <w:fldChar w:fldCharType="separate"/>
          </w:r>
          <w:r>
            <w:t>63</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"_Toc79167010" </w:instrText>
          </w:r>
          <w:r>
            <w:fldChar w:fldCharType="separate"/>
          </w:r>
          <w:r>
            <w:rPr>
              <w:rStyle w:val="13"/>
              <w:rFonts w:eastAsia="方正楷体_GBK"/>
            </w:rPr>
            <w:t>附表1  江津区畜禽养殖污染防治规划主要任务明细表</w:t>
          </w:r>
          <w:r>
            <w:tab/>
          </w:r>
          <w:r>
            <w:fldChar w:fldCharType="begin"/>
          </w:r>
          <w:r>
            <w:instrText xml:space="preserve"> PAGEREF _Toc79167010 \h </w:instrText>
          </w:r>
          <w:r>
            <w:fldChar w:fldCharType="separate"/>
          </w:r>
          <w:r>
            <w:t>63</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"_Toc79167011" </w:instrText>
          </w:r>
          <w:r>
            <w:fldChar w:fldCharType="separate"/>
          </w:r>
          <w:r>
            <w:rPr>
              <w:rStyle w:val="13"/>
              <w:rFonts w:eastAsia="方正楷体_GBK"/>
            </w:rPr>
            <w:t>附表2  江津区畜禽养殖综合治理工程</w:t>
          </w:r>
          <w:r>
            <w:tab/>
          </w:r>
          <w:r>
            <w:fldChar w:fldCharType="begin"/>
          </w:r>
          <w:r>
            <w:instrText xml:space="preserve"> PAGEREF _Toc79167011 \h </w:instrText>
          </w:r>
          <w:r>
            <w:fldChar w:fldCharType="separate"/>
          </w:r>
          <w:r>
            <w:t>66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"_Toc79167012" </w:instrText>
          </w:r>
          <w:r>
            <w:fldChar w:fldCharType="separate"/>
          </w:r>
          <w:r>
            <w:rPr>
              <w:rStyle w:val="13"/>
              <w:rFonts w:eastAsia="方正楷体_GBK"/>
            </w:rPr>
            <w:t>附表3  需补办环评手续的畜禽养殖场名单</w:t>
          </w:r>
          <w:r>
            <w:tab/>
          </w:r>
          <w:r>
            <w:fldChar w:fldCharType="begin"/>
          </w:r>
          <w:r>
            <w:instrText xml:space="preserve"> PAGEREF _Toc79167012 \h </w:instrText>
          </w:r>
          <w:r>
            <w:fldChar w:fldCharType="separate"/>
          </w:r>
          <w:r>
            <w:t>99</w:t>
          </w:r>
          <w:r>
            <w:fldChar w:fldCharType="end"/>
          </w:r>
          <w:r>
            <w:fldChar w:fldCharType="end"/>
          </w:r>
        </w:p>
        <w:p>
          <w:pPr>
            <w:pStyle w:val="8"/>
            <w:tabs>
              <w:tab w:val="right" w:leader="dot" w:pos="8834"/>
            </w:tabs>
            <w:ind w:firstLine="0" w:firstLineChars="0"/>
            <w:rPr>
              <w:rFonts w:asciiTheme="minorHAnsi" w:hAnsiTheme="minorHAnsi" w:eastAsiaTheme="minorEastAsia"/>
              <w:sz w:val="21"/>
            </w:rPr>
          </w:pPr>
          <w:r>
            <w:fldChar w:fldCharType="begin"/>
          </w:r>
          <w:r>
            <w:instrText xml:space="preserve"> HYPERLINK \l "_Toc79167013" </w:instrText>
          </w:r>
          <w:r>
            <w:fldChar w:fldCharType="separate"/>
          </w:r>
          <w:r>
            <w:rPr>
              <w:rStyle w:val="13"/>
              <w:rFonts w:eastAsia="方正黑体_GBK" w:cs="Times New Roman"/>
            </w:rPr>
            <w:t>附图</w:t>
          </w:r>
          <w:r>
            <w:tab/>
          </w:r>
          <w:r>
            <w:fldChar w:fldCharType="begin"/>
          </w:r>
          <w:r>
            <w:instrText xml:space="preserve"> PAGEREF _Toc79167013 \h </w:instrText>
          </w:r>
          <w:r>
            <w:fldChar w:fldCharType="separate"/>
          </w:r>
          <w:r>
            <w:t>102</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"_Toc79167014" </w:instrText>
          </w:r>
          <w:r>
            <w:fldChar w:fldCharType="separate"/>
          </w:r>
          <w:r>
            <w:rPr>
              <w:rStyle w:val="13"/>
              <w:rFonts w:eastAsia="方正楷体_GBK"/>
            </w:rPr>
            <w:t>附图1  江津区行政区划图</w:t>
          </w:r>
          <w:r>
            <w:tab/>
          </w:r>
          <w:r>
            <w:fldChar w:fldCharType="begin"/>
          </w:r>
          <w:r>
            <w:instrText xml:space="preserve"> PAGEREF _Toc79167014 \h </w:instrText>
          </w:r>
          <w:r>
            <w:fldChar w:fldCharType="separate"/>
          </w:r>
          <w:r>
            <w:t>102</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"_Toc79167015" </w:instrText>
          </w:r>
          <w:r>
            <w:fldChar w:fldCharType="separate"/>
          </w:r>
          <w:r>
            <w:rPr>
              <w:rStyle w:val="13"/>
              <w:rFonts w:eastAsia="方正楷体_GBK"/>
            </w:rPr>
            <w:t>附图2  江津区水系图</w:t>
          </w:r>
          <w:r>
            <w:tab/>
          </w:r>
          <w:r>
            <w:fldChar w:fldCharType="begin"/>
          </w:r>
          <w:r>
            <w:instrText xml:space="preserve"> PAGEREF _Toc79167015 \h </w:instrText>
          </w:r>
          <w:r>
            <w:fldChar w:fldCharType="separate"/>
          </w:r>
          <w:r>
            <w:t>103</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"_Toc79167016" </w:instrText>
          </w:r>
          <w:r>
            <w:fldChar w:fldCharType="separate"/>
          </w:r>
          <w:r>
            <w:rPr>
              <w:rStyle w:val="13"/>
              <w:rFonts w:eastAsia="方正楷体_GBK"/>
            </w:rPr>
            <w:t>附图3  江津区畜禽养殖场化学需氧量产生量分布图</w:t>
          </w:r>
          <w:r>
            <w:tab/>
          </w:r>
          <w:r>
            <w:fldChar w:fldCharType="begin"/>
          </w:r>
          <w:r>
            <w:instrText xml:space="preserve"> PAGEREF _Toc79167016 \h </w:instrText>
          </w:r>
          <w:r>
            <w:fldChar w:fldCharType="separate"/>
          </w:r>
          <w:r>
            <w:t>104</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"_Toc79167017" </w:instrText>
          </w:r>
          <w:r>
            <w:fldChar w:fldCharType="separate"/>
          </w:r>
          <w:r>
            <w:rPr>
              <w:rStyle w:val="13"/>
              <w:rFonts w:eastAsia="方正楷体_GBK"/>
            </w:rPr>
            <w:t>附图4  江津区畜禽养殖场生化需氧量产生量分布图</w:t>
          </w:r>
          <w:r>
            <w:tab/>
          </w:r>
          <w:r>
            <w:fldChar w:fldCharType="begin"/>
          </w:r>
          <w:r>
            <w:instrText xml:space="preserve"> PAGEREF _Toc79167017 \h </w:instrText>
          </w:r>
          <w:r>
            <w:fldChar w:fldCharType="separate"/>
          </w:r>
          <w:r>
            <w:t>105</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"_Toc79167018" </w:instrText>
          </w:r>
          <w:r>
            <w:fldChar w:fldCharType="separate"/>
          </w:r>
          <w:r>
            <w:rPr>
              <w:rStyle w:val="13"/>
              <w:rFonts w:eastAsia="方正楷体_GBK"/>
            </w:rPr>
            <w:t>附图5  江津区畜禽养殖场氨氮产生量分布图</w:t>
          </w:r>
          <w:r>
            <w:tab/>
          </w:r>
          <w:r>
            <w:fldChar w:fldCharType="begin"/>
          </w:r>
          <w:r>
            <w:instrText xml:space="preserve"> PAGEREF _Toc79167018 \h </w:instrText>
          </w:r>
          <w:r>
            <w:fldChar w:fldCharType="separate"/>
          </w:r>
          <w:r>
            <w:t>106</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"_Toc79167019" </w:instrText>
          </w:r>
          <w:r>
            <w:fldChar w:fldCharType="separate"/>
          </w:r>
          <w:r>
            <w:rPr>
              <w:rStyle w:val="13"/>
              <w:rFonts w:eastAsia="方正楷体_GBK"/>
            </w:rPr>
            <w:t>附图6  江津区畜禽养殖场总磷产生量分布图</w:t>
          </w:r>
          <w:r>
            <w:tab/>
          </w:r>
          <w:r>
            <w:fldChar w:fldCharType="begin"/>
          </w:r>
          <w:r>
            <w:instrText xml:space="preserve"> PAGEREF _Toc79167019 \h </w:instrText>
          </w:r>
          <w:r>
            <w:fldChar w:fldCharType="separate"/>
          </w:r>
          <w:r>
            <w:t>107</w:t>
          </w:r>
          <w:r>
            <w:fldChar w:fldCharType="end"/>
          </w:r>
          <w:r>
            <w:fldChar w:fldCharType="end"/>
          </w:r>
        </w:p>
        <w:p>
          <w:pPr>
            <w:pStyle w:val="9"/>
            <w:tabs>
              <w:tab w:val="right" w:leader="dot" w:pos="8834"/>
            </w:tabs>
            <w:ind w:left="632" w:firstLine="0" w:firstLineChars="0"/>
            <w:rPr>
              <w:rFonts w:asciiTheme="minorHAnsi" w:hAnsiTheme="minorHAnsi" w:eastAsiaTheme="minorEastAsia"/>
              <w:sz w:val="21"/>
            </w:rPr>
          </w:pPr>
          <w:r>
            <w:fldChar w:fldCharType="begin"/>
          </w:r>
          <w:r>
            <w:instrText xml:space="preserve"> HYPERLINK \l "_Toc79167020" </w:instrText>
          </w:r>
          <w:r>
            <w:fldChar w:fldCharType="separate"/>
          </w:r>
          <w:r>
            <w:rPr>
              <w:rStyle w:val="13"/>
              <w:rFonts w:eastAsia="方正楷体_GBK"/>
            </w:rPr>
            <w:t>附图7  江津区畜禽养殖场总氮产生量分布图</w:t>
          </w:r>
          <w:r>
            <w:tab/>
          </w:r>
          <w:r>
            <w:fldChar w:fldCharType="begin"/>
          </w:r>
          <w:r>
            <w:instrText xml:space="preserve"> PAGEREF _Toc79167020 \h </w:instrText>
          </w:r>
          <w:r>
            <w:fldChar w:fldCharType="separate"/>
          </w:r>
          <w:r>
            <w:t>108</w:t>
          </w:r>
          <w:r>
            <w:fldChar w:fldCharType="end"/>
          </w:r>
          <w:r>
            <w:fldChar w:fldCharType="end"/>
          </w:r>
        </w:p>
        <w:p>
          <w:pPr>
            <w:ind w:firstLine="0" w:firstLineChars="0"/>
          </w:pPr>
          <w:r>
            <w:rPr>
              <w:b/>
              <w:bCs/>
              <w:lang w:val="zh-CN"/>
            </w:rPr>
            <w:fldChar w:fldCharType="end"/>
          </w:r>
        </w:p>
      </w:sdtContent>
    </w:sdt>
    <w:p>
      <w:pPr>
        <w:spacing w:after="115" w:afterLines="20" w:line="560" w:lineRule="exact"/>
        <w:ind w:firstLine="0" w:firstLineChars="0"/>
        <w:jc w:val="center"/>
        <w:outlineLvl w:val="0"/>
        <w:rPr>
          <w:rFonts w:eastAsia="方正黑体_GBK"/>
          <w:szCs w:val="32"/>
        </w:rPr>
        <w:sectPr>
          <w:footerReference r:id="rId11" w:type="default"/>
          <w:footerReference r:id="rId12" w:type="even"/>
          <w:pgSz w:w="11906" w:h="16838"/>
          <w:pgMar w:top="2098" w:right="1474" w:bottom="1985" w:left="1588" w:header="851" w:footer="992" w:gutter="0"/>
          <w:pgNumType w:fmt="upperRoman" w:start="2"/>
          <w:cols w:space="425" w:num="1"/>
          <w:docGrid w:type="linesAndChars" w:linePitch="579" w:charSpace="-849"/>
        </w:sectPr>
      </w:pPr>
    </w:p>
    <w:p>
      <w:pPr>
        <w:spacing w:after="115" w:afterLines="20" w:line="560" w:lineRule="exact"/>
        <w:ind w:firstLine="632"/>
        <w:outlineLvl w:val="0"/>
        <w:rPr>
          <w:rFonts w:eastAsia="方正黑体_GBK"/>
          <w:szCs w:val="32"/>
        </w:rPr>
      </w:pPr>
      <w:bookmarkStart w:id="6" w:name="_Toc79166978"/>
      <w:r>
        <w:rPr>
          <w:rFonts w:hint="eastAsia" w:eastAsia="方正黑体_GBK"/>
          <w:szCs w:val="32"/>
        </w:rPr>
        <w:t>一、畜禽养殖污染防治形势分析</w:t>
      </w:r>
      <w:bookmarkEnd w:id="6"/>
    </w:p>
    <w:p>
      <w:pPr>
        <w:ind w:firstLine="632"/>
        <w:outlineLvl w:val="1"/>
        <w:rPr>
          <w:rFonts w:eastAsia="方正楷体_GBK"/>
          <w:szCs w:val="32"/>
        </w:rPr>
      </w:pPr>
      <w:bookmarkStart w:id="7" w:name="_Toc79166979"/>
      <w:r>
        <w:rPr>
          <w:rFonts w:hint="eastAsia" w:eastAsia="方正楷体_GBK"/>
          <w:szCs w:val="32"/>
        </w:rPr>
        <w:t>（一）“十三五”畜禽养殖污染防治成效显著</w:t>
      </w:r>
      <w:bookmarkEnd w:id="7"/>
    </w:p>
    <w:p>
      <w:pPr>
        <w:ind w:firstLine="632"/>
      </w:pPr>
      <w:r>
        <w:rPr>
          <w:rFonts w:hint="eastAsia" w:eastAsia="方正楷体_GBK"/>
        </w:rPr>
        <w:t>畜牧绿色发展和转型升级初见成效。</w:t>
      </w:r>
      <w:r>
        <w:rPr>
          <w:rFonts w:hint="eastAsia"/>
        </w:rPr>
        <w:t>江津区是重庆市重要的畜禽产品主产区，其中生猪和家禽生产在重庆市占有重要的地位。“十三五”时期，区委区政府牢固树立绿色发展理念，切实保障畜牧业持续健康发展，大力推进规模化畜禽养殖场发展生态养殖，推广雨污分流、干湿分离和设施化处理技术，形成了以生猪为主导产业，以山羊、中蜂、林下生态养殖为潜在优势产业的发展格局，创新“小群散养生态环保”土鸡养殖模式。加快推动规模化畜禽养殖场升级转型，引导规模化畜禽养殖场精细化管理，实施科学规范的饲养管理规程，推广智能化精准饲喂，全区集约化、自动化、现代化养殖水平进一步提升，同时大力推进畜禽养殖场绿色示范建设，畅驰和浩丰2家养殖场成功创建为部级养殖示范场（全国仅100个）。积极推进畜禽养殖废弃物资源化利用，促进沼气建设与种植业和养殖业发展紧密结合，形成了以户用沼气为纽带的“猪沼果”“猪沼菜”等畜禽粪便循环利用模式、以规模化畜禽养殖场沼气工程为纽带的循环农业模式。</w:t>
      </w:r>
    </w:p>
    <w:p>
      <w:pPr>
        <w:ind w:firstLine="632"/>
      </w:pPr>
      <w:r>
        <w:rPr>
          <w:rFonts w:hint="eastAsia" w:eastAsia="方正楷体_GBK"/>
        </w:rPr>
        <w:t>畜禽养殖污染治理成效显著。</w:t>
      </w:r>
      <w:r>
        <w:rPr>
          <w:rFonts w:hint="eastAsia"/>
        </w:rPr>
        <w:t>积极推广科学养猪模式和节水、节粮、减药、减臭技术，严格执行沼液综合利用、环保型饲料等技术标准，直接从源头上减少畜禽养殖污染产生。全面落实畜禽养殖场配套粪污利用处置设施制度，完成全区219家畜禽养殖企业及规模化畜禽养殖场粪污利用设施建设及处理配套设施升级改造，截止2020年底，全区畜禽粪污综合利用率稳定在75%以上，规模化畜禽养殖场粪污处理设施装备配套率达到95%以上，基本解决畜禽规模养殖场粪污处理和资源化利用问题。推进病死畜禽无害化处理体系，油溪镇、广兴镇、吴滩镇、龙华镇、中山镇建成镇街病死畜禽收贮点，规模化养殖场养殖环节无害化处理病死猪动物达2.1万头。全面完成第一轮、第二轮中央环保督察反馈意见整改落实任务，331件畜禽养殖场群众投诉案件已全部完成整改。乡镇人民政府、基层群众自治组织对发现的畜禽养殖环境污染行为的进行及时制止和报告。对将畜禽养殖废弃物用作肥料造成环境污染和从事畜禽规模养殖未按照国家有关规定收集、贮存、处置畜禽粪便造成环境污染的实施行政处罚，全区畜禽养殖污染综合治理取得显著成效。</w:t>
      </w:r>
    </w:p>
    <w:p>
      <w:pPr>
        <w:ind w:firstLine="632"/>
        <w:rPr>
          <w:rFonts w:eastAsia="方正楷体_GBK"/>
        </w:rPr>
      </w:pPr>
      <w:r>
        <w:rPr>
          <w:rFonts w:hint="eastAsia" w:eastAsia="方正楷体_GBK"/>
        </w:rPr>
        <w:t>畜禽养殖布局更加合理。</w:t>
      </w:r>
      <w:r>
        <w:rPr>
          <w:rFonts w:hint="eastAsia"/>
        </w:rPr>
        <w:t>全面落实国家、重庆市总体部署要求，结合全区资源环境等因素，进一步厘清禽养殖空间管控范围，对全区进行了畜禽养殖禁养区、限养区、适养区重新划定调整，其中禁养区</w:t>
      </w:r>
      <w:r>
        <w:t>845.97</w:t>
      </w:r>
      <w:r>
        <w:rPr>
          <w:rFonts w:hint="eastAsia"/>
        </w:rPr>
        <w:t>平方公里，占幅员面积的</w:t>
      </w:r>
      <w:r>
        <w:t>26.3%</w:t>
      </w:r>
      <w:r>
        <w:rPr>
          <w:rFonts w:hint="eastAsia"/>
        </w:rPr>
        <w:t>、限养区</w:t>
      </w:r>
      <w:r>
        <w:t>380.93</w:t>
      </w:r>
      <w:r>
        <w:rPr>
          <w:rFonts w:hint="eastAsia"/>
        </w:rPr>
        <w:t>平方公里，占幅员面积</w:t>
      </w:r>
      <w:r>
        <w:t>11.8</w:t>
      </w:r>
      <w:r>
        <w:rPr>
          <w:rFonts w:hint="eastAsia"/>
        </w:rPr>
        <w:t>%、适养区199</w:t>
      </w:r>
      <w:r>
        <w:t>2.15</w:t>
      </w:r>
      <w:r>
        <w:rPr>
          <w:rFonts w:hint="eastAsia"/>
        </w:rPr>
        <w:t>平方公里，占幅员面积</w:t>
      </w:r>
      <w:r>
        <w:t>61.9</w:t>
      </w:r>
      <w:r>
        <w:rPr>
          <w:rFonts w:hint="eastAsia"/>
        </w:rPr>
        <w:t>%。依托畜禽养殖“三区”划定方案，制定实施《江津区</w:t>
      </w:r>
      <w:r>
        <w:t>2020</w:t>
      </w:r>
      <w:r>
        <w:rPr>
          <w:rFonts w:hint="eastAsia"/>
        </w:rPr>
        <w:t>年取缔关闭禁养区内畜禽养殖场和养殖专业户工作方案》（津府办发〔</w:t>
      </w:r>
      <w:r>
        <w:t>2020</w:t>
      </w:r>
      <w:r>
        <w:rPr>
          <w:rFonts w:hint="eastAsia"/>
        </w:rPr>
        <w:t>〕</w:t>
      </w:r>
      <w:r>
        <w:t>153</w:t>
      </w:r>
      <w:r>
        <w:rPr>
          <w:rFonts w:hint="eastAsia"/>
        </w:rPr>
        <w:t>号），通过清空存栏，拆除圈舍、配套用房以及沼气池、化粪池等配套设施，就地复耕、就地转产或迁建到适养区等方式方法，完成了全区</w:t>
      </w:r>
      <w:r>
        <w:t>620</w:t>
      </w:r>
      <w:r>
        <w:rPr>
          <w:rFonts w:hint="eastAsia"/>
        </w:rPr>
        <w:t>家禁养区内畜禽养殖场关闭或搬迁工作，截至目前，全区畜禽养殖主要集中在津西、津北片区以及津南片区北部，生态旅游发展区域（中山镇和四面山镇）养殖占比较小，畜禽养殖区域分布更加合理。</w:t>
      </w:r>
    </w:p>
    <w:p>
      <w:pPr>
        <w:ind w:firstLine="632"/>
      </w:pPr>
      <w:r>
        <w:rPr>
          <w:rFonts w:hint="eastAsia" w:eastAsia="方正楷体_GBK"/>
        </w:rPr>
        <w:t>畜禽养殖防控机制更加完善。</w:t>
      </w:r>
      <w:r>
        <w:rPr>
          <w:rFonts w:hint="eastAsia"/>
        </w:rPr>
        <w:t>深化落实放管服改革，规范畜禽养殖业环境管理。全面落实畜禽养殖行业排污许可证核发工作，完成了全区**家畜禽养殖企业、7家屠宰场国家级排污许可证核发。严格落实规模养殖环评制度，依法依规开展畜禽规模养殖规划环境影响评价。创新畜禽养殖废弃物综合利用产业发展机制，培育畜禽养殖废弃物综合利用市场主体。构建种养循环发展机制，实行以地定畜，促进种养业布局协调。以规模养殖场粪污处理、有机肥还田和沼气利用等指标为重点，建立畜禽养殖废弃物资源化利用绩效评价考核制度，并建立激励和责任追究机制。建立畜禽养殖环保基础信息管理系统共享机制，畜禽养殖环保信息化监管水平提升。建立健全畜禽养殖污染防治“回头看”机制，利用“双随机、一公开”监管系统开展畜禽养殖污染监督检查，进一步压实企业污染防治主体责任，畜禽养殖防控机制更加完善。</w:t>
      </w:r>
    </w:p>
    <w:p>
      <w:pPr>
        <w:ind w:firstLine="632"/>
        <w:outlineLvl w:val="1"/>
        <w:rPr>
          <w:rFonts w:eastAsia="方正楷体_GBK"/>
          <w:szCs w:val="32"/>
        </w:rPr>
      </w:pPr>
      <w:bookmarkStart w:id="8" w:name="_Toc79166980"/>
      <w:r>
        <w:rPr>
          <w:rFonts w:hint="eastAsia" w:eastAsia="方正楷体_GBK"/>
          <w:szCs w:val="32"/>
        </w:rPr>
        <w:t>（二）“十四五”畜禽养殖污染防治的机遇和挑战</w:t>
      </w:r>
      <w:bookmarkEnd w:id="8"/>
    </w:p>
    <w:p>
      <w:pPr>
        <w:spacing w:line="560" w:lineRule="exact"/>
        <w:ind w:firstLine="632"/>
      </w:pPr>
      <w:r>
        <w:rPr>
          <w:rFonts w:hint="eastAsia"/>
        </w:rPr>
        <w:t>“十四五”期间，全区在乡村振兴战略背景下，以新时代“三农”工作为总抓手，全面深化农业供给侧结构性改革，加快推进农业农村现代化，畜禽养殖污染防治工作面临新的机遇和挑战。</w:t>
      </w:r>
    </w:p>
    <w:p>
      <w:pPr>
        <w:ind w:firstLine="632"/>
      </w:pPr>
      <w:r>
        <w:rPr>
          <w:rFonts w:hint="eastAsia"/>
        </w:rPr>
        <w:t>1.机遇</w:t>
      </w:r>
    </w:p>
    <w:p>
      <w:pPr>
        <w:ind w:firstLine="632"/>
        <w:rPr>
          <w:szCs w:val="32"/>
        </w:rPr>
      </w:pPr>
      <w:r>
        <w:rPr>
          <w:rFonts w:hint="eastAsia" w:eastAsia="方正楷体_GBK"/>
        </w:rPr>
        <w:t>国家高度重视畜牧业高质量发展。</w:t>
      </w:r>
      <w:r>
        <w:rPr>
          <w:rFonts w:hint="eastAsia"/>
          <w:szCs w:val="32"/>
        </w:rPr>
        <w:t>党的十九大提出了乡村振兴战略，促进农村一二三产业融合发展。中共中央国务院在《关于深入推进农业供给侧结构性改革加快培育农业农村发展新动能的若干意见》中提出，大力推行高效生态循环的种养模式，加快畜禽粪便集中处理，推动规模化大型沼气健康发展。在全国畜牧业工作会议上和全国现代畜牧业推进会议暨畜禽养殖废弃物资源化利用会议上指出，要大力推进畜牧业高质量发展，畜禽粪污资源化利用工作要以建立种养结合农牧循环稳定衔接机制为重点。国家相关部委出台系列推进畜禽养殖绿色发展政策扶持措施，为全区农业生产环境的改善和农业产业结构的转型升级、生态循环农业的发展提供了良好的机遇。</w:t>
      </w:r>
    </w:p>
    <w:p>
      <w:pPr>
        <w:ind w:firstLine="632"/>
        <w:rPr>
          <w:rFonts w:eastAsia="方正楷体_GBK"/>
        </w:rPr>
      </w:pPr>
      <w:r>
        <w:rPr>
          <w:rFonts w:hint="eastAsia" w:eastAsia="方正楷体_GBK"/>
        </w:rPr>
        <w:t>畜禽养殖事业已奠定良好的发展基础。</w:t>
      </w:r>
      <w:r>
        <w:rPr>
          <w:rFonts w:hint="eastAsia"/>
          <w:szCs w:val="32"/>
        </w:rPr>
        <w:t>在“十三五”生态文明建设宏观背景下，全国上下大力推动畜禽养殖粪污资源化利用，促进畜禽养殖业绿色发展。区委区政府在思想上、政治上、行动上同党中央及市委市政府高度保持一致，严格整治畜禽养殖场，完成了新一轮禁养区规范调整和畜禽养殖优化布局。大力发展生态养殖，积极探索“畜—沼—果（蔬）”循环种养之路，推行畜禽养殖粪污还田、还林生态利用模式。加强污染综合治理，梅江河流域畜禽养殖粪污处理设施升级改造取得显著成效。全区畜禽养殖绿色发展水平的进一步提高，为推动“十四五”时期畜禽养殖高质量发展、促进畜禽养殖可持续发展提供了重要的契机。</w:t>
      </w:r>
    </w:p>
    <w:p>
      <w:pPr>
        <w:ind w:firstLine="632"/>
      </w:pPr>
      <w:r>
        <w:rPr>
          <w:rFonts w:hint="eastAsia" w:eastAsia="方正楷体_GBK"/>
        </w:rPr>
        <w:t>统筹兼顾畜禽养殖与生态环境保护，为促进畜牧业转型升级和绿色发展带来机遇。</w:t>
      </w:r>
      <w:r>
        <w:rPr>
          <w:rFonts w:hint="eastAsia"/>
          <w:szCs w:val="32"/>
        </w:rPr>
        <w:t>农业生态环境保护是新阶段农业与农村经济可持续发展的重大战略任务，畜禽养殖业健康发展作为农业生态环境保护的重要组成部分，全区将畜禽养殖污染防治为主的农业面源防治工作作为一项重要工作来抓。《重庆市江津区种养循环发展规划》（2019-2023）等各类发展规划及政策文件中均不断强化生态循环农业的发展理念，致力于建立农业生态文明长效机制，为促进畜牧业转型升级和绿色发展提供了项目和资金支撑。</w:t>
      </w:r>
    </w:p>
    <w:p>
      <w:pPr>
        <w:ind w:firstLine="632"/>
      </w:pPr>
      <w:r>
        <w:rPr>
          <w:rFonts w:hint="eastAsia"/>
        </w:rPr>
        <w:t>2</w:t>
      </w:r>
      <w:r>
        <w:t>.</w:t>
      </w:r>
      <w:r>
        <w:rPr>
          <w:rFonts w:hint="eastAsia"/>
        </w:rPr>
        <w:t>挑战</w:t>
      </w:r>
    </w:p>
    <w:p>
      <w:pPr>
        <w:ind w:firstLine="632"/>
      </w:pPr>
      <w:r>
        <w:rPr>
          <w:rFonts w:hint="eastAsia" w:eastAsia="方正楷体_GBK"/>
        </w:rPr>
        <w:t>畜禽产业布局仍需进一步优化。</w:t>
      </w:r>
      <w:r>
        <w:rPr>
          <w:rFonts w:hint="eastAsia" w:ascii="方正仿宋_GBK"/>
        </w:rPr>
        <w:t>经测算，</w:t>
      </w:r>
      <w:r>
        <w:rPr>
          <w:rFonts w:hint="eastAsia"/>
        </w:rPr>
        <w:t>全区畜禽粪便负荷量约为</w:t>
      </w:r>
      <w:r>
        <w:t>2</w:t>
      </w:r>
      <w:r>
        <w:rPr>
          <w:rFonts w:hint="eastAsia"/>
        </w:rPr>
        <w:t>吨/公顷，未达到1公顷耕地负荷30-45吨畜禽粪便的常用数值下限，畜禽粪便环境承载力整体压力不大，但德感、几江等街道由于耕地面积较少等原因，已经出现畜禽粪污土地承载潜力超负荷或负荷率过高现象，对环境造成威胁。部分养殖场配套消纳地面积不足，出现畜禽养殖场偷排、乱排现象，未经处理的畜禽养殖废弃物携带的大量氮、磷污染物，存在污染风险，制约生态畜牧业的健康发展，畜禽养殖污染治理迫在眉睫。</w:t>
      </w:r>
    </w:p>
    <w:p>
      <w:pPr>
        <w:ind w:firstLine="632"/>
        <w:rPr>
          <w:rFonts w:eastAsia="方正楷体_GBK"/>
        </w:rPr>
      </w:pPr>
      <w:r>
        <w:rPr>
          <w:rFonts w:hint="eastAsia" w:eastAsia="方正楷体_GBK"/>
        </w:rPr>
        <w:t>产业融合发展力度仍然不足。</w:t>
      </w:r>
      <w:r>
        <w:rPr>
          <w:rFonts w:hint="eastAsia"/>
          <w:szCs w:val="32"/>
        </w:rPr>
        <w:t>现代区域畜牧业的发展对体系的完善要求日益提高，随着国家出台引导畜牧业由传统畜牧业向现代畜牧业转型的政策，种养结合、农牧循环的可持续发展新格局正在逐步形成。</w:t>
      </w:r>
      <w:r>
        <w:rPr>
          <w:rFonts w:hint="eastAsia"/>
        </w:rPr>
        <w:t>全区种植业、养殖业快速发展，但农牧对接不紧密问题依然存在，种养殖业脱节，融合互动发展不够，畜禽养殖废弃物没有得到充分有效利用，造成生态链断裂。同时，全区畜禽养殖传统种养方式依然存在，“种养结合”农业综合配套技术支撑有待加强，种养一体的绿色畜牧业发展模式应用程度仍需提高。另外，粗放型使用有机肥存在重金属超标隐患等问题尚待进一步解决。</w:t>
      </w:r>
    </w:p>
    <w:p>
      <w:pPr>
        <w:ind w:firstLine="632"/>
      </w:pPr>
      <w:r>
        <w:rPr>
          <w:rFonts w:hint="eastAsia" w:eastAsia="方正楷体_GBK"/>
        </w:rPr>
        <w:t>粪污处理利用技术支撑还需加强。</w:t>
      </w:r>
      <w:r>
        <w:rPr>
          <w:rFonts w:hint="eastAsia"/>
        </w:rPr>
        <w:t>部分养殖场内部设施设备工艺缺失，如雨污混流、粪污贮存不符合防渗、防雨、防溢流要求，仍有</w:t>
      </w:r>
      <w:r>
        <w:t>50</w:t>
      </w:r>
      <w:r>
        <w:rPr>
          <w:rFonts w:hint="eastAsia"/>
        </w:rPr>
        <w:t>家畜禽养殖场存在未配备粪便处理利用设施、设备维护较差及产能不足等现象。畜牧兽医科技服务组织尚未完全建立，兼顾畜牧产业发展、防疫控制、生态环境保护的政策、标准、技术体系还有待深入探索，大型养殖企业、兽药经营企业、饲料生产企业、高等院校、科研单位等组建的畜牧兽医社会化服务团队为中小养殖场户提供的“一条龙”“菜单式”实用科技服务以及投入品管理等正向激励不足。另外，养殖场的氨气、甲烷等治理模式还处于起步阶段，迫切需要从源头减量、过程控制和末端处理全过程探索综合的畜禽养殖场减臭治污模式。</w:t>
      </w:r>
    </w:p>
    <w:p>
      <w:pPr>
        <w:spacing w:after="115" w:afterLines="20" w:line="560" w:lineRule="exact"/>
        <w:ind w:firstLine="632"/>
        <w:outlineLvl w:val="0"/>
        <w:rPr>
          <w:rFonts w:eastAsia="方正黑体_GBK"/>
          <w:szCs w:val="32"/>
        </w:rPr>
      </w:pPr>
      <w:bookmarkStart w:id="9" w:name="_Toc79166981"/>
      <w:r>
        <w:rPr>
          <w:rFonts w:hint="eastAsia" w:eastAsia="方正黑体_GBK"/>
          <w:szCs w:val="32"/>
        </w:rPr>
        <w:t>二、畜禽养殖现状分析</w:t>
      </w:r>
      <w:bookmarkEnd w:id="9"/>
    </w:p>
    <w:p>
      <w:pPr>
        <w:ind w:firstLine="632"/>
        <w:outlineLvl w:val="1"/>
        <w:rPr>
          <w:rFonts w:eastAsia="方正楷体_GBK"/>
          <w:szCs w:val="32"/>
        </w:rPr>
      </w:pPr>
      <w:bookmarkStart w:id="10" w:name="_Toc79166982"/>
      <w:r>
        <w:rPr>
          <w:rFonts w:hint="eastAsia" w:eastAsia="方正楷体_GBK"/>
          <w:szCs w:val="32"/>
        </w:rPr>
        <w:t>（一）畜禽养殖规模现状分析</w:t>
      </w:r>
      <w:bookmarkEnd w:id="10"/>
    </w:p>
    <w:p>
      <w:pPr>
        <w:ind w:firstLine="632"/>
      </w:pPr>
      <w:r>
        <w:rPr>
          <w:rFonts w:hint="eastAsia"/>
        </w:rPr>
        <w:t>1</w:t>
      </w:r>
      <w:r>
        <w:t>.</w:t>
      </w:r>
      <w:r>
        <w:rPr>
          <w:rFonts w:hint="eastAsia"/>
        </w:rPr>
        <w:t>养殖总量</w:t>
      </w:r>
    </w:p>
    <w:p>
      <w:pPr>
        <w:ind w:firstLine="632"/>
      </w:pPr>
      <w:r>
        <w:rPr>
          <w:rFonts w:hint="eastAsia"/>
        </w:rPr>
        <w:t>据畜禽养殖常年存栏量统计（全区畜禽养殖常年存栏量分布情况见表</w:t>
      </w:r>
      <w:r>
        <w:t>2-1</w:t>
      </w:r>
      <w:r>
        <w:rPr>
          <w:rFonts w:hint="eastAsia"/>
        </w:rPr>
        <w:t>），主要养殖种类为猪、牛、羊、兔、家禽。其中生猪、牛、羊、鸡、鸭、鹅、兔、鹌鹑、鸽常年存栏量分别到</w:t>
      </w:r>
      <w:r>
        <w:t>168408</w:t>
      </w:r>
      <w:r>
        <w:rPr>
          <w:rFonts w:hint="eastAsia"/>
        </w:rPr>
        <w:t>头、</w:t>
      </w:r>
      <w:r>
        <w:t>6572</w:t>
      </w:r>
      <w:r>
        <w:rPr>
          <w:rFonts w:hint="eastAsia"/>
        </w:rPr>
        <w:t>头、</w:t>
      </w:r>
      <w:r>
        <w:t>2793</w:t>
      </w:r>
      <w:r>
        <w:rPr>
          <w:rFonts w:hint="eastAsia"/>
        </w:rPr>
        <w:t>头、</w:t>
      </w:r>
      <w:r>
        <w:t>1155010</w:t>
      </w:r>
      <w:r>
        <w:rPr>
          <w:rFonts w:hint="eastAsia"/>
        </w:rPr>
        <w:t>羽、</w:t>
      </w:r>
      <w:r>
        <w:t>34700</w:t>
      </w:r>
      <w:r>
        <w:rPr>
          <w:rFonts w:hint="eastAsia"/>
        </w:rPr>
        <w:t>羽、</w:t>
      </w:r>
      <w:r>
        <w:t>1060</w:t>
      </w:r>
      <w:r>
        <w:rPr>
          <w:rFonts w:hint="eastAsia"/>
        </w:rPr>
        <w:t>羽、</w:t>
      </w:r>
      <w:r>
        <w:t>31000</w:t>
      </w:r>
      <w:r>
        <w:rPr>
          <w:rFonts w:hint="eastAsia"/>
        </w:rPr>
        <w:t>只、</w:t>
      </w:r>
      <w:r>
        <w:t>24000</w:t>
      </w:r>
      <w:r>
        <w:rPr>
          <w:rFonts w:hint="eastAsia"/>
        </w:rPr>
        <w:t>只、1</w:t>
      </w:r>
      <w:r>
        <w:t>3000</w:t>
      </w:r>
      <w:r>
        <w:rPr>
          <w:rFonts w:hint="eastAsia"/>
        </w:rPr>
        <w:t>只。</w:t>
      </w:r>
    </w:p>
    <w:p>
      <w:pPr>
        <w:ind w:firstLine="632"/>
      </w:pPr>
      <w:r>
        <w:t>2.</w:t>
      </w:r>
      <w:r>
        <w:rPr>
          <w:rFonts w:hint="eastAsia"/>
        </w:rPr>
        <w:t>猪当量分析</w:t>
      </w:r>
    </w:p>
    <w:p>
      <w:pPr>
        <w:ind w:firstLine="632"/>
      </w:pPr>
      <w:r>
        <w:rPr>
          <w:rFonts w:hint="eastAsia"/>
        </w:rPr>
        <w:t>对具有不同畜禽种类的养殖场和养殖小区，其规模可换算成生猪当量，根据《畜禽粪污土地承载能力测算技术指南》（农办牧〔</w:t>
      </w:r>
      <w:r>
        <w:t>2018</w:t>
      </w:r>
      <w:r>
        <w:rPr>
          <w:rFonts w:hint="eastAsia"/>
        </w:rPr>
        <w:t>〕</w:t>
      </w:r>
      <w:r>
        <w:t>1</w:t>
      </w:r>
      <w:r>
        <w:rPr>
          <w:rFonts w:hint="eastAsia"/>
        </w:rPr>
        <w:t>号）文件，换算比例为：</w:t>
      </w:r>
      <w:r>
        <w:t>100</w:t>
      </w:r>
      <w:r>
        <w:rPr>
          <w:rFonts w:hint="eastAsia"/>
        </w:rPr>
        <w:t>头猪相当于</w:t>
      </w:r>
      <w:r>
        <w:t>15</w:t>
      </w:r>
      <w:r>
        <w:rPr>
          <w:rFonts w:hint="eastAsia"/>
        </w:rPr>
        <w:t>头奶牛，</w:t>
      </w:r>
      <w:r>
        <w:t>30</w:t>
      </w:r>
      <w:r>
        <w:rPr>
          <w:rFonts w:hint="eastAsia"/>
        </w:rPr>
        <w:t>头肉牛，</w:t>
      </w:r>
      <w:r>
        <w:t>250</w:t>
      </w:r>
      <w:r>
        <w:rPr>
          <w:rFonts w:hint="eastAsia"/>
        </w:rPr>
        <w:t>只羊，</w:t>
      </w:r>
      <w:r>
        <w:t>2500</w:t>
      </w:r>
      <w:r>
        <w:rPr>
          <w:rFonts w:hint="eastAsia"/>
        </w:rPr>
        <w:t>只家禽，</w:t>
      </w:r>
      <w:r>
        <w:t>3200</w:t>
      </w:r>
      <w:r>
        <w:rPr>
          <w:rFonts w:hint="eastAsia"/>
        </w:rPr>
        <w:t>只兔。折算出各镇街的养殖猪当量见下表</w:t>
      </w:r>
      <w:r>
        <w:t>2-1</w:t>
      </w:r>
      <w:r>
        <w:rPr>
          <w:rFonts w:hint="eastAsia"/>
        </w:rPr>
        <w:t>。从下表可知江津区常年养殖存栏猪当量共计</w:t>
      </w:r>
      <w:r>
        <w:t>251620</w:t>
      </w:r>
      <w:r>
        <w:rPr>
          <w:rFonts w:hint="eastAsia"/>
        </w:rPr>
        <w:t>头。其中李市镇、白沙镇、吴滩镇为养殖大镇，常年存栏量（猪当量）分别为5</w:t>
      </w:r>
      <w:r>
        <w:t>5946</w:t>
      </w:r>
      <w:r>
        <w:rPr>
          <w:rFonts w:hint="eastAsia"/>
        </w:rPr>
        <w:t>头、2</w:t>
      </w:r>
      <w:r>
        <w:t>6568</w:t>
      </w:r>
      <w:r>
        <w:rPr>
          <w:rFonts w:hint="eastAsia"/>
        </w:rPr>
        <w:t>头、2</w:t>
      </w:r>
      <w:r>
        <w:t>6307</w:t>
      </w:r>
      <w:r>
        <w:rPr>
          <w:rFonts w:hint="eastAsia"/>
        </w:rPr>
        <w:t>头，李市镇重庆宏牧农业科技有限公司生猪存栏量位居全区首位，为20</w:t>
      </w:r>
      <w:r>
        <w:t>000</w:t>
      </w:r>
      <w:r>
        <w:rPr>
          <w:rFonts w:hint="eastAsia"/>
        </w:rPr>
        <w:t>头。四屏镇常年存栏量（猪当量）最少，为6</w:t>
      </w:r>
      <w:r>
        <w:t>7</w:t>
      </w:r>
      <w:r>
        <w:rPr>
          <w:rFonts w:hint="eastAsia"/>
        </w:rPr>
        <w:t>头。</w:t>
      </w:r>
    </w:p>
    <w:p>
      <w:pPr>
        <w:ind w:firstLine="632"/>
        <w:sectPr>
          <w:footerReference r:id="rId13" w:type="default"/>
          <w:footerReference r:id="rId14" w:type="even"/>
          <w:pgSz w:w="11906" w:h="16838"/>
          <w:pgMar w:top="2098" w:right="1474" w:bottom="1985" w:left="1588" w:header="851" w:footer="992" w:gutter="0"/>
          <w:pgNumType w:start="1"/>
          <w:cols w:space="425" w:num="1"/>
          <w:docGrid w:type="linesAndChars" w:linePitch="579" w:charSpace="-849"/>
        </w:sectPr>
      </w:pPr>
    </w:p>
    <w:p>
      <w:pPr>
        <w:tabs>
          <w:tab w:val="left" w:pos="1580"/>
        </w:tabs>
        <w:spacing w:line="560" w:lineRule="exact"/>
        <w:ind w:firstLine="0" w:firstLineChars="0"/>
        <w:jc w:val="center"/>
        <w:rPr>
          <w:rFonts w:eastAsia="方正黑体_GBK"/>
          <w:sz w:val="24"/>
          <w:szCs w:val="24"/>
        </w:rPr>
      </w:pPr>
      <w:r>
        <w:rPr>
          <w:rFonts w:hint="eastAsia" w:eastAsia="方正黑体_GBK"/>
          <w:sz w:val="28"/>
          <w:szCs w:val="28"/>
        </w:rPr>
        <w:t>表</w:t>
      </w:r>
      <w:r>
        <w:rPr>
          <w:rFonts w:eastAsia="方正黑体_GBK"/>
          <w:sz w:val="28"/>
          <w:szCs w:val="28"/>
        </w:rPr>
        <w:t xml:space="preserve">2-1  </w:t>
      </w:r>
      <w:r>
        <w:rPr>
          <w:rFonts w:hint="eastAsia" w:eastAsia="方正黑体_GBK"/>
          <w:sz w:val="28"/>
          <w:szCs w:val="28"/>
        </w:rPr>
        <w:t>江津区各镇街畜禽养殖常年存栏量规模统计表</w:t>
      </w:r>
      <w:r>
        <w:rPr>
          <w:rFonts w:eastAsia="方正黑体_GBK"/>
          <w:sz w:val="28"/>
          <w:szCs w:val="28"/>
        </w:rPr>
        <w:t xml:space="preserve">  </w:t>
      </w:r>
      <w:r>
        <w:rPr>
          <w:rFonts w:hint="eastAsia" w:eastAsia="方正黑体_GBK"/>
          <w:sz w:val="24"/>
          <w:szCs w:val="24"/>
        </w:rPr>
        <w:t>单位：头</w:t>
      </w:r>
      <w:r>
        <w:rPr>
          <w:rFonts w:eastAsia="方正黑体_GBK"/>
          <w:sz w:val="24"/>
          <w:szCs w:val="24"/>
        </w:rPr>
        <w:t>/</w:t>
      </w:r>
      <w:r>
        <w:rPr>
          <w:rFonts w:hint="eastAsia" w:eastAsia="方正黑体_GBK"/>
          <w:sz w:val="24"/>
          <w:szCs w:val="24"/>
        </w:rPr>
        <w:t>羽</w:t>
      </w:r>
      <w:r>
        <w:rPr>
          <w:rFonts w:eastAsia="方正黑体_GBK"/>
          <w:sz w:val="24"/>
          <w:szCs w:val="24"/>
        </w:rPr>
        <w:t>/</w:t>
      </w:r>
      <w:r>
        <w:rPr>
          <w:rFonts w:hint="eastAsia" w:eastAsia="方正黑体_GBK"/>
          <w:sz w:val="24"/>
          <w:szCs w:val="24"/>
        </w:rPr>
        <w:t>只</w:t>
      </w:r>
    </w:p>
    <w:tbl>
      <w:tblPr>
        <w:tblStyle w:val="10"/>
        <w:tblW w:w="46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9"/>
        <w:gridCol w:w="1205"/>
        <w:gridCol w:w="898"/>
        <w:gridCol w:w="1357"/>
        <w:gridCol w:w="898"/>
        <w:gridCol w:w="1051"/>
        <w:gridCol w:w="1051"/>
        <w:gridCol w:w="898"/>
        <w:gridCol w:w="1051"/>
        <w:gridCol w:w="918"/>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633" w:type="pct"/>
            <w:vMerge w:val="restar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镇街名称</w:t>
            </w:r>
          </w:p>
        </w:tc>
        <w:tc>
          <w:tcPr>
            <w:tcW w:w="3862" w:type="pct"/>
            <w:gridSpan w:val="9"/>
            <w:shd w:val="clear" w:color="auto" w:fill="auto"/>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养殖种类</w:t>
            </w:r>
          </w:p>
        </w:tc>
        <w:tc>
          <w:tcPr>
            <w:tcW w:w="504" w:type="pct"/>
            <w:vMerge w:val="restar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633" w:type="pct"/>
            <w:vMerge w:val="continue"/>
            <w:vAlign w:val="center"/>
          </w:tcPr>
          <w:p>
            <w:pPr>
              <w:widowControl/>
              <w:spacing w:line="300" w:lineRule="exact"/>
              <w:ind w:firstLine="0" w:firstLineChars="0"/>
              <w:jc w:val="center"/>
              <w:rPr>
                <w:rFonts w:ascii="方正黑体_GBK" w:hAnsi="Arial" w:eastAsia="方正黑体_GBK" w:cs="Arial"/>
                <w:kern w:val="0"/>
                <w:sz w:val="24"/>
                <w:szCs w:val="24"/>
              </w:rPr>
            </w:pPr>
          </w:p>
        </w:tc>
        <w:tc>
          <w:tcPr>
            <w:tcW w:w="499"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猪</w:t>
            </w:r>
          </w:p>
        </w:tc>
        <w:tc>
          <w:tcPr>
            <w:tcW w:w="372"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牛</w:t>
            </w:r>
          </w:p>
        </w:tc>
        <w:tc>
          <w:tcPr>
            <w:tcW w:w="562"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鸡</w:t>
            </w:r>
          </w:p>
        </w:tc>
        <w:tc>
          <w:tcPr>
            <w:tcW w:w="372"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羊</w:t>
            </w:r>
          </w:p>
        </w:tc>
        <w:tc>
          <w:tcPr>
            <w:tcW w:w="435"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兔</w:t>
            </w:r>
          </w:p>
        </w:tc>
        <w:tc>
          <w:tcPr>
            <w:tcW w:w="435"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鸭</w:t>
            </w:r>
          </w:p>
        </w:tc>
        <w:tc>
          <w:tcPr>
            <w:tcW w:w="372"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鹅</w:t>
            </w:r>
          </w:p>
        </w:tc>
        <w:tc>
          <w:tcPr>
            <w:tcW w:w="435" w:type="pct"/>
            <w:shd w:val="clear" w:color="auto" w:fill="auto"/>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鸽</w:t>
            </w:r>
          </w:p>
        </w:tc>
        <w:tc>
          <w:tcPr>
            <w:tcW w:w="380" w:type="pct"/>
            <w:shd w:val="clear" w:color="auto" w:fill="auto"/>
            <w:noWrap/>
            <w:vAlign w:val="center"/>
          </w:tcPr>
          <w:p>
            <w:pPr>
              <w:widowControl/>
              <w:spacing w:line="300" w:lineRule="exact"/>
              <w:ind w:firstLine="0" w:firstLineChars="0"/>
              <w:jc w:val="center"/>
              <w:rPr>
                <w:rFonts w:ascii="方正黑体_GBK" w:hAnsi="Arial" w:eastAsia="方正黑体_GBK" w:cs="Arial"/>
                <w:kern w:val="0"/>
                <w:sz w:val="24"/>
                <w:szCs w:val="24"/>
              </w:rPr>
            </w:pPr>
            <w:r>
              <w:rPr>
                <w:rFonts w:hint="eastAsia" w:ascii="方正黑体_GBK" w:hAnsi="Arial" w:eastAsia="方正黑体_GBK" w:cs="Arial"/>
                <w:kern w:val="0"/>
                <w:sz w:val="24"/>
                <w:szCs w:val="24"/>
              </w:rPr>
              <w:t>鹌鹑</w:t>
            </w:r>
          </w:p>
        </w:tc>
        <w:tc>
          <w:tcPr>
            <w:tcW w:w="504" w:type="pct"/>
            <w:vMerge w:val="continue"/>
            <w:vAlign w:val="center"/>
          </w:tcPr>
          <w:p>
            <w:pPr>
              <w:widowControl/>
              <w:spacing w:line="300" w:lineRule="exact"/>
              <w:ind w:firstLine="0" w:firstLineChars="0"/>
              <w:jc w:val="center"/>
              <w:rPr>
                <w:rFonts w:ascii="方正黑体_GBK" w:hAnsi="Arial" w:eastAsia="方正黑体_GBK" w:cs="Arial"/>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李市镇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27802</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2225</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336000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650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24000</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55946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白沙镇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21968</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125000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500</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26568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吴滩镇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25200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48000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26307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先锋镇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8290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1230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130000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20430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德感街道</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10520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650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124000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17403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油溪镇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7660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425</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143000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7500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14703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龙华镇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4891</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401</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30020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西湖镇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6760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9500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3500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塘河镇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7500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柏林镇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6375</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7135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慈云镇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1522</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654</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贾嗣镇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5253</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45300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石蟆镇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4453</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132</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10500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538</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1600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560</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支坪镇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4963</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290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圣泉街道</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4135</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夏坝镇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3900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120</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蔡家镇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3774</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杜市镇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3250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3400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9000</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永兴镇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920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110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41700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65</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几江街道</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590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52800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嘉平镇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2880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珞璜镇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2130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朱杨镇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980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12000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4000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2200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石门镇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649</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广兴镇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670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9000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4000</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双福街道</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873</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1000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四面山镇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210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17</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中山镇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240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四屏镇</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50</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6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500</w:t>
            </w:r>
          </w:p>
        </w:tc>
        <w:tc>
          <w:tcPr>
            <w:tcW w:w="435"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72"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435" w:type="pct"/>
            <w:shd w:val="clear" w:color="auto" w:fill="auto"/>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380"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pct"/>
            <w:shd w:val="clear" w:color="auto" w:fill="auto"/>
            <w:noWrap/>
            <w:vAlign w:val="center"/>
          </w:tcPr>
          <w:p>
            <w:pPr>
              <w:widowControl/>
              <w:spacing w:line="300" w:lineRule="exact"/>
              <w:ind w:firstLine="0" w:firstLineChars="0"/>
              <w:jc w:val="center"/>
              <w:rPr>
                <w:rFonts w:ascii="方正仿宋_GBK" w:hAnsi="Arial" w:cs="Arial"/>
                <w:kern w:val="0"/>
                <w:sz w:val="24"/>
                <w:szCs w:val="24"/>
              </w:rPr>
            </w:pPr>
            <w:r>
              <w:rPr>
                <w:rFonts w:hint="eastAsia" w:ascii="方正仿宋_GBK" w:hAnsi="Arial" w:cs="Arial"/>
                <w:kern w:val="0"/>
                <w:sz w:val="24"/>
                <w:szCs w:val="24"/>
              </w:rPr>
              <w:t>总计</w:t>
            </w:r>
          </w:p>
        </w:tc>
        <w:tc>
          <w:tcPr>
            <w:tcW w:w="499"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168408</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6572</w:t>
            </w:r>
          </w:p>
        </w:tc>
        <w:tc>
          <w:tcPr>
            <w:tcW w:w="56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1155010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2793</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31000</w:t>
            </w:r>
          </w:p>
        </w:tc>
        <w:tc>
          <w:tcPr>
            <w:tcW w:w="435"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34700</w:t>
            </w:r>
          </w:p>
        </w:tc>
        <w:tc>
          <w:tcPr>
            <w:tcW w:w="372"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1060</w:t>
            </w:r>
          </w:p>
        </w:tc>
        <w:tc>
          <w:tcPr>
            <w:tcW w:w="435" w:type="pct"/>
            <w:shd w:val="clear" w:color="auto" w:fill="auto"/>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13000</w:t>
            </w:r>
          </w:p>
        </w:tc>
        <w:tc>
          <w:tcPr>
            <w:tcW w:w="380"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24000</w:t>
            </w:r>
          </w:p>
        </w:tc>
        <w:tc>
          <w:tcPr>
            <w:tcW w:w="504" w:type="pct"/>
            <w:shd w:val="clear" w:color="auto" w:fill="auto"/>
            <w:noWrap/>
            <w:vAlign w:val="center"/>
          </w:tcPr>
          <w:p>
            <w:pPr>
              <w:widowControl/>
              <w:spacing w:line="300" w:lineRule="exact"/>
              <w:ind w:firstLine="0" w:firstLineChars="0"/>
              <w:jc w:val="center"/>
              <w:rPr>
                <w:rFonts w:eastAsia="宋体" w:cs="Times New Roman"/>
                <w:kern w:val="0"/>
                <w:sz w:val="24"/>
                <w:szCs w:val="24"/>
              </w:rPr>
            </w:pPr>
            <w:r>
              <w:rPr>
                <w:rFonts w:eastAsia="宋体" w:cs="Times New Roman"/>
                <w:kern w:val="0"/>
                <w:sz w:val="24"/>
                <w:szCs w:val="24"/>
              </w:rPr>
              <w:t>251620</w:t>
            </w:r>
          </w:p>
        </w:tc>
      </w:tr>
    </w:tbl>
    <w:p>
      <w:pPr>
        <w:tabs>
          <w:tab w:val="left" w:pos="1580"/>
        </w:tabs>
        <w:spacing w:line="560" w:lineRule="exact"/>
        <w:ind w:firstLine="0" w:firstLineChars="0"/>
        <w:jc w:val="center"/>
        <w:rPr>
          <w:rFonts w:eastAsia="方正黑体_GBK"/>
          <w:sz w:val="28"/>
          <w:szCs w:val="28"/>
        </w:rPr>
      </w:pPr>
    </w:p>
    <w:p>
      <w:pPr>
        <w:tabs>
          <w:tab w:val="left" w:pos="1580"/>
        </w:tabs>
        <w:spacing w:line="560" w:lineRule="exact"/>
        <w:ind w:firstLine="552"/>
        <w:rPr>
          <w:rFonts w:ascii="仿宋_GB2312" w:eastAsia="仿宋_GB2312"/>
          <w:sz w:val="28"/>
          <w:szCs w:val="28"/>
        </w:rPr>
        <w:sectPr>
          <w:pgSz w:w="16838" w:h="11906" w:orient="landscape"/>
          <w:pgMar w:top="1588" w:right="2098" w:bottom="1474" w:left="1985" w:header="851" w:footer="992" w:gutter="0"/>
          <w:pgNumType w:start="0"/>
          <w:cols w:space="425" w:num="1"/>
          <w:docGrid w:type="linesAndChars" w:linePitch="579" w:charSpace="-849"/>
        </w:sectPr>
      </w:pPr>
    </w:p>
    <w:p>
      <w:pPr>
        <w:ind w:firstLine="632"/>
      </w:pPr>
      <w:r>
        <w:t>2.</w:t>
      </w:r>
      <w:r>
        <w:rPr>
          <w:rFonts w:hint="eastAsia"/>
        </w:rPr>
        <w:t>养殖规模现状</w:t>
      </w:r>
    </w:p>
    <w:p>
      <w:pPr>
        <w:ind w:firstLine="632"/>
      </w:pPr>
      <w:r>
        <w:rPr>
          <w:rFonts w:hint="eastAsia"/>
        </w:rPr>
        <w:t>（1）畜禽养殖规模的划分</w:t>
      </w:r>
    </w:p>
    <w:p>
      <w:pPr>
        <w:ind w:firstLine="632"/>
      </w:pPr>
      <w:r>
        <w:rPr>
          <w:rFonts w:hint="eastAsia"/>
        </w:rPr>
        <w:t>根据重庆市生态环境局、重庆市农业委员会印发的《</w:t>
      </w:r>
      <w:r>
        <w:rPr>
          <w:rFonts w:hint="eastAsia"/>
          <w:color w:val="333333"/>
          <w:shd w:val="clear" w:color="auto" w:fill="FFFFFF"/>
        </w:rPr>
        <w:t>重庆市畜禽养殖规模标准</w:t>
      </w:r>
      <w:r>
        <w:rPr>
          <w:rFonts w:hint="eastAsia"/>
        </w:rPr>
        <w:t xml:space="preserve">》文件，重庆市畜禽规模养殖标准确定为： </w:t>
      </w:r>
    </w:p>
    <w:p>
      <w:pPr>
        <w:ind w:firstLine="632"/>
      </w:pPr>
      <w:r>
        <w:rPr>
          <w:rFonts w:hint="eastAsia"/>
        </w:rPr>
        <w:t>养殖专业户：</w:t>
      </w:r>
    </w:p>
    <w:p>
      <w:pPr>
        <w:ind w:firstLine="632"/>
      </w:pPr>
      <w:r>
        <w:rPr>
          <w:rFonts w:hint="eastAsia"/>
        </w:rPr>
        <w:t>①200头&gt;生猪年存栏量≥20头；</w:t>
      </w:r>
    </w:p>
    <w:p>
      <w:pPr>
        <w:ind w:firstLine="632"/>
      </w:pPr>
      <w:r>
        <w:rPr>
          <w:rFonts w:hint="eastAsia"/>
        </w:rPr>
        <w:t>②6000只&gt;蛋鸡存栏量≥600只，12000只&gt;肉鸡存栏量≥1200只；</w:t>
      </w:r>
    </w:p>
    <w:p>
      <w:pPr>
        <w:ind w:firstLine="632"/>
      </w:pPr>
      <w:r>
        <w:rPr>
          <w:rFonts w:hint="eastAsia"/>
        </w:rPr>
        <w:t>③20头&gt;奶牛存栏量≥2头，40头&gt;肉牛出栏量≥4头。</w:t>
      </w:r>
    </w:p>
    <w:p>
      <w:pPr>
        <w:ind w:firstLine="632"/>
      </w:pPr>
      <w:r>
        <w:rPr>
          <w:rFonts w:hint="eastAsia"/>
        </w:rPr>
        <w:t>集约化畜禽养殖场：</w:t>
      </w:r>
    </w:p>
    <w:p>
      <w:pPr>
        <w:ind w:firstLine="632"/>
      </w:pPr>
      <w:r>
        <w:rPr>
          <w:rFonts w:hint="eastAsia"/>
        </w:rPr>
        <w:t>①1000头&gt;生猪年存栏量≥200头；</w:t>
      </w:r>
    </w:p>
    <w:p>
      <w:pPr>
        <w:ind w:firstLine="632"/>
      </w:pPr>
      <w:r>
        <w:rPr>
          <w:rFonts w:hint="eastAsia"/>
        </w:rPr>
        <w:t>②30000只&gt;蛋鸡存栏量≥6000只，60000只&gt;肉鸡存栏量≥12000只；</w:t>
      </w:r>
    </w:p>
    <w:p>
      <w:pPr>
        <w:ind w:firstLine="632"/>
      </w:pPr>
      <w:r>
        <w:rPr>
          <w:rFonts w:hint="eastAsia"/>
        </w:rPr>
        <w:t>③100头&gt;奶牛存栏量≥20头，200头&gt;肉牛出栏量≥40头。</w:t>
      </w:r>
    </w:p>
    <w:p>
      <w:pPr>
        <w:ind w:firstLine="632"/>
      </w:pPr>
      <w:r>
        <w:rPr>
          <w:rFonts w:hint="eastAsia"/>
        </w:rPr>
        <w:t>集约化畜禽养殖小区：</w:t>
      </w:r>
    </w:p>
    <w:p>
      <w:pPr>
        <w:ind w:firstLine="632"/>
      </w:pPr>
      <w:r>
        <w:rPr>
          <w:rFonts w:hint="eastAsia"/>
        </w:rPr>
        <w:t>①2000头&gt;生猪年存栏量≥400头；</w:t>
      </w:r>
    </w:p>
    <w:p>
      <w:pPr>
        <w:ind w:firstLine="632"/>
      </w:pPr>
      <w:r>
        <w:rPr>
          <w:rFonts w:hint="eastAsia"/>
        </w:rPr>
        <w:t>②60000只&gt;蛋鸡存栏量≥12000只，12000只&gt;肉鸡存栏量≥24000只；</w:t>
      </w:r>
    </w:p>
    <w:p>
      <w:pPr>
        <w:ind w:firstLine="632"/>
      </w:pPr>
      <w:r>
        <w:rPr>
          <w:rFonts w:hint="eastAsia"/>
        </w:rPr>
        <w:t>③200头&gt;奶牛存栏量≥40头，400头&gt;肉牛出栏量≥80头。</w:t>
      </w:r>
    </w:p>
    <w:p>
      <w:pPr>
        <w:ind w:firstLine="632"/>
      </w:pPr>
      <w:r>
        <w:rPr>
          <w:rFonts w:hint="eastAsia"/>
        </w:rPr>
        <w:t>规模化畜禽养殖场：</w:t>
      </w:r>
    </w:p>
    <w:p>
      <w:pPr>
        <w:ind w:firstLine="632"/>
      </w:pPr>
      <w:r>
        <w:rPr>
          <w:rFonts w:hint="eastAsia"/>
        </w:rPr>
        <w:t>①生猪年存栏量≥1000头；</w:t>
      </w:r>
    </w:p>
    <w:p>
      <w:pPr>
        <w:ind w:firstLine="632"/>
      </w:pPr>
      <w:r>
        <w:rPr>
          <w:rFonts w:hint="eastAsia"/>
        </w:rPr>
        <w:t>②蛋鸡存栏量≥30000只，肉鸡存栏量≥60000只；</w:t>
      </w:r>
    </w:p>
    <w:p>
      <w:pPr>
        <w:ind w:firstLine="632"/>
      </w:pPr>
      <w:r>
        <w:rPr>
          <w:rFonts w:hint="eastAsia"/>
        </w:rPr>
        <w:t>③奶牛存栏量≥100头，肉牛出栏量≥200头。</w:t>
      </w:r>
    </w:p>
    <w:p>
      <w:pPr>
        <w:ind w:firstLine="632"/>
      </w:pPr>
      <w:r>
        <w:rPr>
          <w:rFonts w:hint="eastAsia"/>
        </w:rPr>
        <w:t>规模化畜禽养殖小区：</w:t>
      </w:r>
    </w:p>
    <w:p>
      <w:pPr>
        <w:ind w:firstLine="632"/>
      </w:pPr>
      <w:r>
        <w:rPr>
          <w:rFonts w:hint="eastAsia"/>
        </w:rPr>
        <w:t>①生猪年存栏量≥2000头；</w:t>
      </w:r>
    </w:p>
    <w:p>
      <w:pPr>
        <w:ind w:firstLine="632"/>
      </w:pPr>
      <w:r>
        <w:rPr>
          <w:rFonts w:hint="eastAsia"/>
        </w:rPr>
        <w:t>②蛋鸡存栏量≥60000只，肉鸡存栏量≥120000只；</w:t>
      </w:r>
    </w:p>
    <w:p>
      <w:pPr>
        <w:ind w:firstLine="632"/>
      </w:pPr>
      <w:r>
        <w:rPr>
          <w:rFonts w:hint="eastAsia"/>
        </w:rPr>
        <w:t>③奶牛存栏量≥200头，肉牛出栏量≥400头。</w:t>
      </w:r>
    </w:p>
    <w:p>
      <w:pPr>
        <w:ind w:firstLine="632"/>
      </w:pPr>
      <w:r>
        <w:rPr>
          <w:rFonts w:hint="eastAsia"/>
        </w:rPr>
        <w:t>（2）畜禽养殖规模现状</w:t>
      </w:r>
    </w:p>
    <w:p>
      <w:pPr>
        <w:ind w:firstLine="632"/>
      </w:pPr>
      <w:r>
        <w:rPr>
          <w:rFonts w:hint="eastAsia"/>
        </w:rPr>
        <w:t>江津区共有畜禽养殖场</w:t>
      </w:r>
      <w:r>
        <w:t>696</w:t>
      </w:r>
      <w:r>
        <w:rPr>
          <w:rFonts w:hint="eastAsia"/>
        </w:rPr>
        <w:t>家，以猪、牛、鸡养殖为主。根据重庆市生态环境局、重庆市农业委员会关于印发《畜禽养殖规模标准的通知》划分，有规模化畜禽养殖场</w:t>
      </w:r>
      <w:r>
        <w:t>49</w:t>
      </w:r>
      <w:r>
        <w:rPr>
          <w:rFonts w:hint="eastAsia"/>
        </w:rPr>
        <w:t>家，主要分布在梅江河沿线的吴滩镇、长江沿线的白沙镇和油溪镇（详见表</w:t>
      </w:r>
      <w:r>
        <w:t>2-2</w:t>
      </w:r>
      <w:r>
        <w:rPr>
          <w:rFonts w:hint="eastAsia"/>
        </w:rPr>
        <w:t>）；集约化畜禽养殖场</w:t>
      </w:r>
      <w:r>
        <w:t>178</w:t>
      </w:r>
      <w:r>
        <w:rPr>
          <w:rFonts w:hint="eastAsia"/>
        </w:rPr>
        <w:t>家，主要分布在长江沿线的油溪镇和白沙镇、笋溪河沿线的先锋镇和李市镇（详见表</w:t>
      </w:r>
      <w:r>
        <w:t>2-3</w:t>
      </w:r>
      <w:r>
        <w:rPr>
          <w:rFonts w:hint="eastAsia"/>
        </w:rPr>
        <w:t>）；养殖专业户</w:t>
      </w:r>
      <w:r>
        <w:t>447</w:t>
      </w:r>
      <w:r>
        <w:rPr>
          <w:rFonts w:hint="eastAsia"/>
        </w:rPr>
        <w:t>家，主要分布在綦江河沿线的支坪镇、笋溪河沿线的李市镇、杜市河沿线的杜市镇（详见表</w:t>
      </w:r>
      <w:r>
        <w:t>2-4</w:t>
      </w:r>
      <w:r>
        <w:rPr>
          <w:rFonts w:hint="eastAsia"/>
        </w:rPr>
        <w:t>）；其他养殖户2</w:t>
      </w:r>
      <w:r>
        <w:t>2</w:t>
      </w:r>
      <w:r>
        <w:rPr>
          <w:rFonts w:hint="eastAsia"/>
        </w:rPr>
        <w:t>家，主要分布在綦江河沿线的西湖镇和支坪镇、杜市河沿线的杜市镇（详见表</w:t>
      </w:r>
      <w:r>
        <w:t>2-5</w:t>
      </w:r>
      <w:r>
        <w:rPr>
          <w:rFonts w:hint="eastAsia"/>
        </w:rPr>
        <w:t>）。</w:t>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2-2  </w:t>
      </w:r>
      <w:r>
        <w:rPr>
          <w:rFonts w:hint="eastAsia" w:eastAsia="方正黑体_GBK"/>
          <w:sz w:val="28"/>
          <w:szCs w:val="28"/>
        </w:rPr>
        <w:t xml:space="preserve">江津区规模化畜禽养殖场现状分布 </w:t>
      </w:r>
      <w:r>
        <w:rPr>
          <w:rFonts w:eastAsia="方正黑体_GBK"/>
          <w:sz w:val="28"/>
          <w:szCs w:val="28"/>
        </w:rPr>
        <w:t xml:space="preserve"> </w:t>
      </w:r>
      <w:r>
        <w:rPr>
          <w:rFonts w:hint="eastAsia" w:eastAsia="方正黑体_GBK"/>
          <w:sz w:val="21"/>
          <w:szCs w:val="21"/>
        </w:rPr>
        <w:t>单位：家</w:t>
      </w:r>
    </w:p>
    <w:tbl>
      <w:tblPr>
        <w:tblStyle w:val="10"/>
        <w:tblW w:w="511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8"/>
        <w:gridCol w:w="1353"/>
        <w:gridCol w:w="1353"/>
        <w:gridCol w:w="1353"/>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661" w:type="pct"/>
            <w:vMerge w:val="restar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镇街名称</w:t>
            </w:r>
          </w:p>
        </w:tc>
        <w:tc>
          <w:tcPr>
            <w:tcW w:w="3339" w:type="pct"/>
            <w:gridSpan w:val="4"/>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规模化畜禽养殖场</w:t>
            </w:r>
            <w:r>
              <w:rPr>
                <w:rFonts w:eastAsia="方正黑体_GBK" w:cs="Arial"/>
                <w:kern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661" w:type="pct"/>
            <w:vMerge w:val="continue"/>
            <w:shd w:val="clear" w:color="auto" w:fill="auto"/>
            <w:noWrap/>
            <w:vAlign w:val="center"/>
          </w:tcPr>
          <w:p>
            <w:pPr>
              <w:spacing w:line="300" w:lineRule="exact"/>
              <w:ind w:firstLine="0" w:firstLineChars="0"/>
              <w:jc w:val="center"/>
              <w:rPr>
                <w:rFonts w:eastAsia="方正黑体_GBK" w:cs="Arial"/>
                <w:kern w:val="0"/>
                <w:sz w:val="24"/>
                <w:szCs w:val="24"/>
              </w:rPr>
            </w:pPr>
          </w:p>
        </w:tc>
        <w:tc>
          <w:tcPr>
            <w:tcW w:w="730"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猪</w:t>
            </w:r>
          </w:p>
        </w:tc>
        <w:tc>
          <w:tcPr>
            <w:tcW w:w="730"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牛</w:t>
            </w:r>
          </w:p>
        </w:tc>
        <w:tc>
          <w:tcPr>
            <w:tcW w:w="730"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鸡</w:t>
            </w:r>
          </w:p>
        </w:tc>
        <w:tc>
          <w:tcPr>
            <w:tcW w:w="1148" w:type="pct"/>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14</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杜市镇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塘河镇</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30"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61"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41</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7</w:t>
            </w:r>
          </w:p>
        </w:tc>
        <w:tc>
          <w:tcPr>
            <w:tcW w:w="73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114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49</w:t>
            </w:r>
          </w:p>
        </w:tc>
      </w:tr>
    </w:tbl>
    <w:p>
      <w:pPr>
        <w:ind w:firstLine="632"/>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2-3  </w:t>
      </w:r>
      <w:r>
        <w:rPr>
          <w:rFonts w:hint="eastAsia" w:eastAsia="方正黑体_GBK"/>
          <w:sz w:val="28"/>
          <w:szCs w:val="28"/>
        </w:rPr>
        <w:t xml:space="preserve">江津区集约化畜禽养殖场现状分布表 </w:t>
      </w:r>
      <w:r>
        <w:rPr>
          <w:rFonts w:eastAsia="方正黑体_GBK"/>
          <w:sz w:val="28"/>
          <w:szCs w:val="28"/>
        </w:rPr>
        <w:t xml:space="preserve"> </w:t>
      </w:r>
      <w:r>
        <w:rPr>
          <w:rFonts w:hint="eastAsia" w:eastAsia="方正黑体_GBK"/>
          <w:sz w:val="21"/>
          <w:szCs w:val="21"/>
        </w:rPr>
        <w:t>单位：家</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6"/>
        <w:gridCol w:w="1107"/>
        <w:gridCol w:w="957"/>
        <w:gridCol w:w="957"/>
        <w:gridCol w:w="957"/>
        <w:gridCol w:w="1218"/>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433" w:type="pct"/>
            <w:vMerge w:val="restar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镇街名称</w:t>
            </w:r>
          </w:p>
        </w:tc>
        <w:tc>
          <w:tcPr>
            <w:tcW w:w="3567" w:type="pct"/>
            <w:gridSpan w:val="6"/>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集约化畜禽养殖场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433" w:type="pct"/>
            <w:vMerge w:val="continue"/>
            <w:shd w:val="clear" w:color="auto" w:fill="auto"/>
            <w:noWrap/>
            <w:vAlign w:val="center"/>
          </w:tcPr>
          <w:p>
            <w:pPr>
              <w:spacing w:line="300" w:lineRule="exact"/>
              <w:ind w:firstLine="0" w:firstLineChars="0"/>
              <w:jc w:val="center"/>
              <w:rPr>
                <w:rFonts w:eastAsia="方正黑体_GBK" w:cs="Arial"/>
                <w:kern w:val="0"/>
                <w:sz w:val="24"/>
                <w:szCs w:val="24"/>
              </w:rPr>
            </w:pPr>
          </w:p>
        </w:tc>
        <w:tc>
          <w:tcPr>
            <w:tcW w:w="61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猪</w:t>
            </w:r>
          </w:p>
        </w:tc>
        <w:tc>
          <w:tcPr>
            <w:tcW w:w="528"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牛</w:t>
            </w:r>
          </w:p>
        </w:tc>
        <w:tc>
          <w:tcPr>
            <w:tcW w:w="528"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鸡</w:t>
            </w:r>
          </w:p>
        </w:tc>
        <w:tc>
          <w:tcPr>
            <w:tcW w:w="528"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鸭</w:t>
            </w:r>
          </w:p>
        </w:tc>
        <w:tc>
          <w:tcPr>
            <w:tcW w:w="672"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兔</w:t>
            </w:r>
          </w:p>
        </w:tc>
        <w:tc>
          <w:tcPr>
            <w:tcW w:w="700" w:type="pct"/>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13</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8</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12</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7</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18</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8</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贾嗣镇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7</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9</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8</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支坪镇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7</w:t>
            </w:r>
          </w:p>
        </w:tc>
        <w:tc>
          <w:tcPr>
            <w:tcW w:w="528" w:type="pct"/>
            <w:shd w:val="clear" w:color="auto" w:fill="auto"/>
            <w:noWrap/>
            <w:vAlign w:val="bottom"/>
          </w:tcPr>
          <w:p>
            <w:pPr>
              <w:spacing w:line="300" w:lineRule="exact"/>
              <w:ind w:firstLine="0" w:firstLineChars="0"/>
              <w:jc w:val="center"/>
              <w:rPr>
                <w:rFonts w:cs="Times New Roman"/>
                <w:sz w:val="24"/>
                <w:szCs w:val="24"/>
              </w:rPr>
            </w:pP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蔡家镇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528" w:type="pct"/>
            <w:shd w:val="clear" w:color="auto" w:fill="auto"/>
            <w:noWrap/>
            <w:vAlign w:val="bottom"/>
          </w:tcPr>
          <w:p>
            <w:pPr>
              <w:spacing w:line="300" w:lineRule="exact"/>
              <w:ind w:firstLine="0" w:firstLineChars="0"/>
              <w:jc w:val="center"/>
              <w:rPr>
                <w:rFonts w:cs="Times New Roman"/>
                <w:sz w:val="24"/>
                <w:szCs w:val="24"/>
              </w:rPr>
            </w:pP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珞璜镇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c>
          <w:tcPr>
            <w:tcW w:w="528" w:type="pct"/>
            <w:shd w:val="clear" w:color="auto" w:fill="auto"/>
            <w:noWrap/>
            <w:vAlign w:val="bottom"/>
          </w:tcPr>
          <w:p>
            <w:pPr>
              <w:spacing w:line="300" w:lineRule="exact"/>
              <w:ind w:firstLine="0" w:firstLineChars="0"/>
              <w:jc w:val="center"/>
              <w:rPr>
                <w:rFonts w:cs="Times New Roman"/>
                <w:sz w:val="24"/>
                <w:szCs w:val="24"/>
              </w:rPr>
            </w:pP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几江街道</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朱杨镇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永兴镇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广兴镇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石门镇</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528"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672" w:type="pct"/>
            <w:shd w:val="clear" w:color="auto" w:fill="auto"/>
            <w:noWrap/>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33" w:type="pct"/>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611"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124</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26</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24</w:t>
            </w:r>
          </w:p>
        </w:tc>
        <w:tc>
          <w:tcPr>
            <w:tcW w:w="528"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3</w:t>
            </w:r>
          </w:p>
        </w:tc>
        <w:tc>
          <w:tcPr>
            <w:tcW w:w="672"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w:t>
            </w:r>
          </w:p>
        </w:tc>
        <w:tc>
          <w:tcPr>
            <w:tcW w:w="700" w:type="pct"/>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178</w:t>
            </w:r>
          </w:p>
        </w:tc>
      </w:tr>
    </w:tbl>
    <w:p>
      <w:pPr>
        <w:ind w:firstLine="632"/>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2-4  </w:t>
      </w:r>
      <w:r>
        <w:rPr>
          <w:rFonts w:hint="eastAsia" w:eastAsia="方正黑体_GBK"/>
          <w:sz w:val="28"/>
          <w:szCs w:val="28"/>
        </w:rPr>
        <w:t xml:space="preserve">江津区养殖专业户现状分布表 </w:t>
      </w:r>
      <w:r>
        <w:rPr>
          <w:rFonts w:eastAsia="方正黑体_GBK"/>
          <w:sz w:val="28"/>
          <w:szCs w:val="28"/>
        </w:rPr>
        <w:t xml:space="preserve"> </w:t>
      </w:r>
      <w:r>
        <w:rPr>
          <w:rFonts w:hint="eastAsia" w:eastAsia="方正黑体_GBK"/>
          <w:sz w:val="21"/>
          <w:szCs w:val="21"/>
        </w:rPr>
        <w:t>单位：家</w:t>
      </w:r>
    </w:p>
    <w:tbl>
      <w:tblPr>
        <w:tblStyle w:val="10"/>
        <w:tblW w:w="53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582"/>
        <w:gridCol w:w="704"/>
        <w:gridCol w:w="704"/>
        <w:gridCol w:w="704"/>
        <w:gridCol w:w="704"/>
        <w:gridCol w:w="704"/>
        <w:gridCol w:w="704"/>
        <w:gridCol w:w="704"/>
        <w:gridCol w:w="947"/>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110" w:type="pct"/>
            <w:vMerge w:val="restar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镇街名称</w:t>
            </w:r>
          </w:p>
        </w:tc>
        <w:tc>
          <w:tcPr>
            <w:tcW w:w="3889" w:type="pct"/>
            <w:gridSpan w:val="10"/>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养殖专业户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110" w:type="pct"/>
            <w:vMerge w:val="continue"/>
            <w:shd w:val="clear" w:color="auto" w:fill="auto"/>
            <w:noWrap/>
            <w:vAlign w:val="center"/>
          </w:tcPr>
          <w:p>
            <w:pPr>
              <w:spacing w:line="300" w:lineRule="exact"/>
              <w:ind w:firstLine="0" w:firstLineChars="0"/>
              <w:jc w:val="center"/>
              <w:rPr>
                <w:rFonts w:eastAsia="方正黑体_GBK" w:cs="Arial"/>
                <w:kern w:val="0"/>
                <w:sz w:val="24"/>
                <w:szCs w:val="24"/>
              </w:rPr>
            </w:pPr>
          </w:p>
        </w:tc>
        <w:tc>
          <w:tcPr>
            <w:tcW w:w="299"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猪</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牛</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鸡</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羊</w:t>
            </w:r>
          </w:p>
        </w:tc>
        <w:tc>
          <w:tcPr>
            <w:tcW w:w="361"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兔</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鸭</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鹅</w:t>
            </w:r>
          </w:p>
        </w:tc>
        <w:tc>
          <w:tcPr>
            <w:tcW w:w="361"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鸽</w:t>
            </w:r>
          </w:p>
        </w:tc>
        <w:tc>
          <w:tcPr>
            <w:tcW w:w="486"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鹌鹑</w:t>
            </w:r>
          </w:p>
        </w:tc>
        <w:tc>
          <w:tcPr>
            <w:tcW w:w="577"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支坪镇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43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8</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20</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9</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杜市镇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299" w:type="pct"/>
            <w:vAlign w:val="center"/>
          </w:tcPr>
          <w:p>
            <w:pPr>
              <w:spacing w:line="300" w:lineRule="exact"/>
              <w:ind w:firstLine="0" w:firstLineChars="0"/>
              <w:jc w:val="center"/>
              <w:rPr>
                <w:rFonts w:cs="Times New Roman"/>
                <w:sz w:val="24"/>
                <w:szCs w:val="24"/>
              </w:rPr>
            </w:pPr>
            <w:r>
              <w:rPr>
                <w:rFonts w:cs="Times New Roman"/>
                <w:sz w:val="24"/>
                <w:szCs w:val="24"/>
              </w:rPr>
              <w:t>19</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5</w:t>
            </w:r>
          </w:p>
        </w:tc>
        <w:tc>
          <w:tcPr>
            <w:tcW w:w="361"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贾嗣镇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蔡家镇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16</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双福街道</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石门镇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6</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永兴镇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7</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5</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7</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朱杨镇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299" w:type="pct"/>
            <w:vAlign w:val="center"/>
          </w:tcPr>
          <w:p>
            <w:pPr>
              <w:spacing w:line="300" w:lineRule="exact"/>
              <w:ind w:firstLine="0" w:firstLineChars="0"/>
              <w:jc w:val="center"/>
              <w:rPr>
                <w:rFonts w:cs="Times New Roman"/>
                <w:sz w:val="24"/>
                <w:szCs w:val="24"/>
              </w:rPr>
            </w:pPr>
            <w:r>
              <w:rPr>
                <w:rFonts w:cs="Times New Roman"/>
                <w:sz w:val="24"/>
                <w:szCs w:val="24"/>
              </w:rPr>
              <w:t>7</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广兴镇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四面山镇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中山镇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几江街道</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4</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珞璜镇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299" w:type="pct"/>
            <w:vAlign w:val="center"/>
          </w:tcPr>
          <w:p>
            <w:pPr>
              <w:spacing w:line="300" w:lineRule="exact"/>
              <w:ind w:firstLine="0" w:firstLineChars="0"/>
              <w:jc w:val="center"/>
              <w:rPr>
                <w:rFonts w:ascii="方正仿宋_GBK" w:hAnsi="Arial" w:cs="Arial"/>
                <w:sz w:val="24"/>
                <w:szCs w:val="24"/>
              </w:rPr>
            </w:pP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四屏镇</w:t>
            </w:r>
          </w:p>
        </w:tc>
        <w:tc>
          <w:tcPr>
            <w:tcW w:w="299" w:type="pct"/>
            <w:vAlign w:val="center"/>
          </w:tcPr>
          <w:p>
            <w:pPr>
              <w:spacing w:line="300" w:lineRule="exact"/>
              <w:ind w:firstLine="0" w:firstLineChars="0"/>
              <w:jc w:val="center"/>
              <w:rPr>
                <w:rFonts w:ascii="方正仿宋_GBK" w:hAnsi="Arial" w:cs="Arial"/>
                <w:sz w:val="24"/>
                <w:szCs w:val="24"/>
              </w:rPr>
            </w:pPr>
            <w:r>
              <w:rPr>
                <w:rFonts w:cs="Times New Roman"/>
                <w:sz w:val="24"/>
                <w:szCs w:val="24"/>
              </w:rPr>
              <w:t>1</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hint="eastAsia" w:ascii="方正仿宋_GBK" w:hAnsi="Arial" w:cs="Arial"/>
                <w:sz w:val="24"/>
                <w:szCs w:val="24"/>
              </w:rPr>
              <w:t>—</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10" w:type="pct"/>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299" w:type="pct"/>
            <w:vAlign w:val="center"/>
          </w:tcPr>
          <w:p>
            <w:pPr>
              <w:spacing w:line="300" w:lineRule="exact"/>
              <w:ind w:firstLine="0" w:firstLineChars="0"/>
              <w:jc w:val="center"/>
              <w:rPr>
                <w:rFonts w:cs="Times New Roman"/>
                <w:sz w:val="24"/>
                <w:szCs w:val="24"/>
              </w:rPr>
            </w:pPr>
            <w:r>
              <w:rPr>
                <w:rFonts w:cs="Times New Roman"/>
                <w:sz w:val="24"/>
                <w:szCs w:val="24"/>
              </w:rPr>
              <w:t>323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37</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20</w:t>
            </w:r>
          </w:p>
        </w:tc>
        <w:tc>
          <w:tcPr>
            <w:tcW w:w="361" w:type="pct"/>
            <w:vAlign w:val="center"/>
          </w:tcPr>
          <w:p>
            <w:pPr>
              <w:spacing w:line="300" w:lineRule="exact"/>
              <w:ind w:firstLine="0" w:firstLineChars="0"/>
              <w:jc w:val="center"/>
              <w:rPr>
                <w:rFonts w:cs="Times New Roman"/>
                <w:sz w:val="24"/>
                <w:szCs w:val="24"/>
              </w:rPr>
            </w:pPr>
            <w:r>
              <w:rPr>
                <w:rFonts w:cs="Times New Roman"/>
                <w:sz w:val="24"/>
                <w:szCs w:val="24"/>
              </w:rPr>
              <w:t>13</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6</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361"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2</w:t>
            </w:r>
          </w:p>
        </w:tc>
        <w:tc>
          <w:tcPr>
            <w:tcW w:w="486"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1</w:t>
            </w:r>
          </w:p>
        </w:tc>
        <w:tc>
          <w:tcPr>
            <w:tcW w:w="577" w:type="pct"/>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447</w:t>
            </w:r>
          </w:p>
        </w:tc>
      </w:tr>
    </w:tbl>
    <w:p>
      <w:pPr>
        <w:ind w:firstLine="632"/>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2</w:t>
      </w:r>
      <w:r>
        <w:rPr>
          <w:rFonts w:hint="eastAsia" w:eastAsia="方正黑体_GBK"/>
          <w:sz w:val="28"/>
          <w:szCs w:val="28"/>
        </w:rPr>
        <w:t>-</w:t>
      </w:r>
      <w:r>
        <w:rPr>
          <w:rFonts w:eastAsia="方正黑体_GBK"/>
          <w:sz w:val="28"/>
          <w:szCs w:val="28"/>
        </w:rPr>
        <w:t xml:space="preserve">5  </w:t>
      </w:r>
      <w:r>
        <w:rPr>
          <w:rFonts w:hint="eastAsia" w:eastAsia="方正黑体_GBK"/>
          <w:sz w:val="28"/>
          <w:szCs w:val="28"/>
        </w:rPr>
        <w:t xml:space="preserve">江津区其他养殖户现状分布表 </w:t>
      </w:r>
      <w:r>
        <w:rPr>
          <w:rFonts w:eastAsia="方正黑体_GBK"/>
          <w:sz w:val="28"/>
          <w:szCs w:val="28"/>
        </w:rPr>
        <w:t xml:space="preserve"> </w:t>
      </w:r>
      <w:r>
        <w:rPr>
          <w:rFonts w:hint="eastAsia" w:eastAsia="方正黑体_GBK"/>
          <w:sz w:val="21"/>
          <w:szCs w:val="21"/>
        </w:rPr>
        <w:t>单位：家</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6"/>
        <w:gridCol w:w="893"/>
        <w:gridCol w:w="893"/>
        <w:gridCol w:w="1361"/>
        <w:gridCol w:w="893"/>
        <w:gridCol w:w="1361"/>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jc w:val="center"/>
        </w:trPr>
        <w:tc>
          <w:tcPr>
            <w:tcW w:w="1267" w:type="pct"/>
            <w:vMerge w:val="restar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镇街名称</w:t>
            </w:r>
          </w:p>
        </w:tc>
        <w:tc>
          <w:tcPr>
            <w:tcW w:w="3733" w:type="pct"/>
            <w:gridSpan w:val="6"/>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其他养殖户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267" w:type="pct"/>
            <w:vMerge w:val="continue"/>
            <w:shd w:val="clear" w:color="auto" w:fill="auto"/>
            <w:noWrap/>
            <w:vAlign w:val="center"/>
          </w:tcPr>
          <w:p>
            <w:pPr>
              <w:spacing w:line="300" w:lineRule="exact"/>
              <w:ind w:firstLine="0" w:firstLineChars="0"/>
              <w:jc w:val="center"/>
              <w:rPr>
                <w:rFonts w:eastAsia="方正黑体_GBK" w:cs="Arial"/>
                <w:kern w:val="0"/>
                <w:sz w:val="24"/>
                <w:szCs w:val="24"/>
              </w:rPr>
            </w:pPr>
          </w:p>
        </w:tc>
        <w:tc>
          <w:tcPr>
            <w:tcW w:w="493" w:type="pct"/>
          </w:tcPr>
          <w:p>
            <w:pPr>
              <w:spacing w:line="300" w:lineRule="exact"/>
              <w:ind w:firstLine="0" w:firstLineChars="0"/>
              <w:jc w:val="center"/>
              <w:rPr>
                <w:rFonts w:eastAsia="方正黑体_GBK" w:cs="Arial"/>
                <w:sz w:val="24"/>
                <w:szCs w:val="24"/>
              </w:rPr>
            </w:pPr>
            <w:r>
              <w:rPr>
                <w:rFonts w:hint="eastAsia" w:eastAsia="方正黑体_GBK" w:cs="Arial"/>
                <w:sz w:val="24"/>
                <w:szCs w:val="24"/>
              </w:rPr>
              <w:t>猪</w:t>
            </w:r>
          </w:p>
        </w:tc>
        <w:tc>
          <w:tcPr>
            <w:tcW w:w="493" w:type="pct"/>
          </w:tcPr>
          <w:p>
            <w:pPr>
              <w:spacing w:line="300" w:lineRule="exact"/>
              <w:ind w:firstLine="0" w:firstLineChars="0"/>
              <w:jc w:val="center"/>
              <w:rPr>
                <w:rFonts w:eastAsia="方正黑体_GBK" w:cs="Arial"/>
                <w:sz w:val="24"/>
                <w:szCs w:val="24"/>
              </w:rPr>
            </w:pPr>
            <w:r>
              <w:rPr>
                <w:rFonts w:hint="eastAsia" w:eastAsia="方正黑体_GBK" w:cs="Arial"/>
                <w:sz w:val="24"/>
                <w:szCs w:val="24"/>
              </w:rPr>
              <w:t>鸡</w:t>
            </w:r>
          </w:p>
        </w:tc>
        <w:tc>
          <w:tcPr>
            <w:tcW w:w="751"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sz w:val="24"/>
                <w:szCs w:val="24"/>
              </w:rPr>
              <w:t>羊</w:t>
            </w:r>
          </w:p>
        </w:tc>
        <w:tc>
          <w:tcPr>
            <w:tcW w:w="493"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sz w:val="24"/>
                <w:szCs w:val="24"/>
              </w:rPr>
              <w:t>兔</w:t>
            </w:r>
          </w:p>
        </w:tc>
        <w:tc>
          <w:tcPr>
            <w:tcW w:w="751"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sz w:val="24"/>
                <w:szCs w:val="24"/>
              </w:rPr>
              <w:t>鸽</w:t>
            </w:r>
          </w:p>
        </w:tc>
        <w:tc>
          <w:tcPr>
            <w:tcW w:w="752"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sz w:val="24"/>
                <w:szCs w:val="24"/>
              </w:rPr>
              <w:t>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杜市镇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5</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西湖镇</w:t>
            </w:r>
          </w:p>
        </w:tc>
        <w:tc>
          <w:tcPr>
            <w:tcW w:w="493" w:type="pct"/>
          </w:tcPr>
          <w:p>
            <w:pPr>
              <w:spacing w:line="300" w:lineRule="exact"/>
              <w:ind w:firstLine="0" w:firstLineChars="0"/>
              <w:jc w:val="center"/>
              <w:rPr>
                <w:rFonts w:cs="Times New Roman"/>
                <w:sz w:val="24"/>
                <w:szCs w:val="24"/>
              </w:rPr>
            </w:pPr>
            <w:r>
              <w:rPr>
                <w:rFonts w:cs="Times New Roman"/>
                <w:sz w:val="24"/>
                <w:szCs w:val="24"/>
              </w:rPr>
              <w:t>6</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贾嗣镇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cs="Times New Roman"/>
                <w:sz w:val="24"/>
                <w:szCs w:val="24"/>
              </w:rPr>
              <w:t>1</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支坪镇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cs="Times New Roman"/>
                <w:sz w:val="24"/>
                <w:szCs w:val="24"/>
              </w:rPr>
              <w:t>2</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柏林镇</w:t>
            </w:r>
          </w:p>
        </w:tc>
        <w:tc>
          <w:tcPr>
            <w:tcW w:w="493" w:type="pct"/>
          </w:tcPr>
          <w:p>
            <w:pPr>
              <w:spacing w:line="300" w:lineRule="exact"/>
              <w:ind w:firstLine="0" w:firstLineChars="0"/>
              <w:jc w:val="center"/>
              <w:rPr>
                <w:rFonts w:cs="Times New Roman"/>
                <w:sz w:val="24"/>
                <w:szCs w:val="24"/>
              </w:rPr>
            </w:pPr>
            <w:r>
              <w:rPr>
                <w:rFonts w:cs="Times New Roman"/>
                <w:sz w:val="24"/>
                <w:szCs w:val="24"/>
              </w:rPr>
              <w:t>1</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蔡家镇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广兴镇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cs="Times New Roman"/>
                <w:sz w:val="24"/>
                <w:szCs w:val="24"/>
              </w:rPr>
              <w:t>1</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四屏镇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塘河镇</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493" w:type="pct"/>
          </w:tcPr>
          <w:p>
            <w:pPr>
              <w:spacing w:line="300" w:lineRule="exact"/>
              <w:ind w:firstLine="0" w:firstLineChars="0"/>
              <w:jc w:val="center"/>
              <w:rPr>
                <w:rFonts w:cs="Times New Roman"/>
                <w:sz w:val="24"/>
                <w:szCs w:val="24"/>
              </w:rPr>
            </w:pPr>
            <w:r>
              <w:rPr>
                <w:rFonts w:cs="Times New Roman"/>
                <w:sz w:val="24"/>
                <w:szCs w:val="24"/>
              </w:rPr>
              <w:t>1</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ascii="方正仿宋_GBK" w:hAnsi="Arial" w:cs="Arial"/>
                <w:sz w:val="24"/>
                <w:szCs w:val="24"/>
              </w:rPr>
              <w:t>先锋镇</w:t>
            </w:r>
          </w:p>
        </w:tc>
        <w:tc>
          <w:tcPr>
            <w:tcW w:w="493" w:type="pct"/>
          </w:tcPr>
          <w:p>
            <w:pPr>
              <w:spacing w:line="300" w:lineRule="exact"/>
              <w:ind w:firstLine="0" w:firstLineChars="0"/>
              <w:jc w:val="center"/>
              <w:rPr>
                <w:rFonts w:cs="Times New Roman"/>
                <w:sz w:val="24"/>
                <w:szCs w:val="24"/>
              </w:rPr>
            </w:pPr>
            <w:r>
              <w:rPr>
                <w:rFonts w:cs="Times New Roman"/>
                <w:sz w:val="24"/>
                <w:szCs w:val="24"/>
              </w:rPr>
              <w:t>1</w:t>
            </w:r>
          </w:p>
        </w:tc>
        <w:tc>
          <w:tcPr>
            <w:tcW w:w="493" w:type="pct"/>
          </w:tcPr>
          <w:p>
            <w:pPr>
              <w:spacing w:line="300" w:lineRule="exact"/>
              <w:ind w:firstLine="0" w:firstLineChars="0"/>
              <w:jc w:val="center"/>
              <w:rPr>
                <w:rFonts w:cs="Times New Roman"/>
                <w:sz w:val="24"/>
                <w:szCs w:val="24"/>
              </w:rPr>
            </w:pPr>
            <w:r>
              <w:rPr>
                <w:rFonts w:hint="eastAsia" w:cs="Times New Roman"/>
                <w:sz w:val="24"/>
                <w:szCs w:val="24"/>
              </w:rPr>
              <w:t>—</w:t>
            </w:r>
          </w:p>
        </w:tc>
        <w:tc>
          <w:tcPr>
            <w:tcW w:w="751"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493" w:type="pct"/>
            <w:vAlign w:val="center"/>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1" w:type="pct"/>
          </w:tcPr>
          <w:p>
            <w:pPr>
              <w:spacing w:line="300" w:lineRule="exact"/>
              <w:ind w:firstLine="0" w:firstLineChars="0"/>
              <w:jc w:val="center"/>
              <w:rPr>
                <w:rFonts w:cs="Times New Roman"/>
                <w:kern w:val="0"/>
                <w:sz w:val="24"/>
                <w:szCs w:val="24"/>
              </w:rPr>
            </w:pPr>
            <w:r>
              <w:rPr>
                <w:rFonts w:hint="eastAsia" w:cs="Times New Roman"/>
                <w:sz w:val="24"/>
                <w:szCs w:val="24"/>
              </w:rPr>
              <w:t>—</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67" w:type="pct"/>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总计</w:t>
            </w:r>
          </w:p>
        </w:tc>
        <w:tc>
          <w:tcPr>
            <w:tcW w:w="493" w:type="pct"/>
          </w:tcPr>
          <w:p>
            <w:pPr>
              <w:spacing w:line="300" w:lineRule="exact"/>
              <w:ind w:firstLine="0" w:firstLineChars="0"/>
              <w:jc w:val="center"/>
              <w:rPr>
                <w:rFonts w:cs="Times New Roman"/>
                <w:sz w:val="24"/>
                <w:szCs w:val="24"/>
              </w:rPr>
            </w:pPr>
            <w:r>
              <w:rPr>
                <w:rFonts w:cs="Times New Roman"/>
                <w:sz w:val="24"/>
                <w:szCs w:val="24"/>
              </w:rPr>
              <w:t>8</w:t>
            </w:r>
          </w:p>
        </w:tc>
        <w:tc>
          <w:tcPr>
            <w:tcW w:w="493" w:type="pct"/>
          </w:tcPr>
          <w:p>
            <w:pPr>
              <w:spacing w:line="300" w:lineRule="exact"/>
              <w:ind w:firstLine="0" w:firstLineChars="0"/>
              <w:jc w:val="center"/>
              <w:rPr>
                <w:rFonts w:cs="Times New Roman"/>
                <w:sz w:val="24"/>
                <w:szCs w:val="24"/>
              </w:rPr>
            </w:pPr>
            <w:r>
              <w:rPr>
                <w:rFonts w:cs="Times New Roman"/>
                <w:sz w:val="24"/>
                <w:szCs w:val="24"/>
              </w:rPr>
              <w:t>5</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7</w:t>
            </w:r>
          </w:p>
        </w:tc>
        <w:tc>
          <w:tcPr>
            <w:tcW w:w="493"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751" w:type="pct"/>
            <w:vAlign w:val="center"/>
          </w:tcPr>
          <w:p>
            <w:pPr>
              <w:spacing w:line="300" w:lineRule="exact"/>
              <w:ind w:firstLine="0" w:firstLineChars="0"/>
              <w:jc w:val="center"/>
              <w:rPr>
                <w:rFonts w:cs="Times New Roman"/>
                <w:kern w:val="0"/>
                <w:sz w:val="24"/>
                <w:szCs w:val="24"/>
              </w:rPr>
            </w:pPr>
            <w:r>
              <w:rPr>
                <w:rFonts w:cs="Times New Roman"/>
                <w:sz w:val="24"/>
                <w:szCs w:val="24"/>
              </w:rPr>
              <w:t>1</w:t>
            </w:r>
          </w:p>
        </w:tc>
        <w:tc>
          <w:tcPr>
            <w:tcW w:w="752" w:type="pct"/>
            <w:vAlign w:val="center"/>
          </w:tcPr>
          <w:p>
            <w:pPr>
              <w:spacing w:line="300" w:lineRule="exact"/>
              <w:ind w:firstLine="0" w:firstLineChars="0"/>
              <w:jc w:val="center"/>
              <w:rPr>
                <w:rFonts w:cs="Times New Roman"/>
                <w:kern w:val="0"/>
                <w:sz w:val="24"/>
                <w:szCs w:val="24"/>
              </w:rPr>
            </w:pPr>
            <w:r>
              <w:rPr>
                <w:rFonts w:cs="Times New Roman"/>
                <w:sz w:val="24"/>
                <w:szCs w:val="24"/>
              </w:rPr>
              <w:t>22</w:t>
            </w:r>
          </w:p>
        </w:tc>
      </w:tr>
    </w:tbl>
    <w:p>
      <w:pPr>
        <w:ind w:firstLine="632"/>
      </w:pPr>
    </w:p>
    <w:p>
      <w:pPr>
        <w:ind w:firstLine="632"/>
      </w:pPr>
      <w:r>
        <w:rPr>
          <w:rFonts w:hint="eastAsia"/>
        </w:rPr>
        <w:t>3</w:t>
      </w:r>
      <w:r>
        <w:t>.</w:t>
      </w:r>
      <w:r>
        <w:rPr>
          <w:rFonts w:hint="eastAsia"/>
        </w:rPr>
        <w:t>畜禽养殖场布局现状</w:t>
      </w:r>
    </w:p>
    <w:p>
      <w:pPr>
        <w:ind w:firstLine="632"/>
        <w:rPr>
          <w:snapToGrid w:val="0"/>
          <w:kern w:val="0"/>
          <w:szCs w:val="28"/>
        </w:rPr>
      </w:pPr>
      <w:r>
        <w:rPr>
          <w:rFonts w:hint="eastAsia"/>
        </w:rPr>
        <w:t>全区共有畜禽养殖场6</w:t>
      </w:r>
      <w:r>
        <w:t>96</w:t>
      </w:r>
      <w:r>
        <w:rPr>
          <w:rFonts w:hint="eastAsia"/>
        </w:rPr>
        <w:t>家，其中养猪场共</w:t>
      </w:r>
      <w:r>
        <w:t>496</w:t>
      </w:r>
      <w:r>
        <w:rPr>
          <w:rFonts w:hint="eastAsia"/>
        </w:rPr>
        <w:t>家，占全区养殖场比例为7</w:t>
      </w:r>
      <w:r>
        <w:t>1.26</w:t>
      </w:r>
      <w:r>
        <w:rPr>
          <w:rFonts w:hint="eastAsia"/>
        </w:rPr>
        <w:t>%，主要分布在</w:t>
      </w:r>
      <w:r>
        <w:rPr>
          <w:rFonts w:hint="eastAsia"/>
          <w:snapToGrid w:val="0"/>
          <w:kern w:val="0"/>
          <w:szCs w:val="28"/>
        </w:rPr>
        <w:t>支坪、李市、先锋、贾嗣、油溪、西湖、</w:t>
      </w:r>
      <w:r>
        <w:rPr>
          <w:snapToGrid w:val="0"/>
          <w:kern w:val="0"/>
          <w:szCs w:val="28"/>
        </w:rPr>
        <w:t>吴滩、</w:t>
      </w:r>
      <w:r>
        <w:rPr>
          <w:rFonts w:hint="eastAsia"/>
          <w:snapToGrid w:val="0"/>
          <w:kern w:val="0"/>
          <w:szCs w:val="28"/>
        </w:rPr>
        <w:t>柏林、杜市、白沙、石蟆、蔡家</w:t>
      </w:r>
      <w:r>
        <w:rPr>
          <w:snapToGrid w:val="0"/>
          <w:kern w:val="0"/>
          <w:szCs w:val="28"/>
        </w:rPr>
        <w:t>等镇</w:t>
      </w:r>
      <w:r>
        <w:rPr>
          <w:rFonts w:hint="eastAsia"/>
        </w:rPr>
        <w:t>；</w:t>
      </w:r>
      <w:r>
        <w:rPr>
          <w:rFonts w:hint="eastAsia"/>
          <w:snapToGrid w:val="0"/>
          <w:kern w:val="0"/>
          <w:szCs w:val="28"/>
        </w:rPr>
        <w:t>养牛场8</w:t>
      </w:r>
      <w:r>
        <w:rPr>
          <w:snapToGrid w:val="0"/>
          <w:kern w:val="0"/>
          <w:szCs w:val="28"/>
        </w:rPr>
        <w:t>5</w:t>
      </w:r>
      <w:r>
        <w:rPr>
          <w:rFonts w:hint="eastAsia"/>
          <w:snapToGrid w:val="0"/>
          <w:kern w:val="0"/>
          <w:szCs w:val="28"/>
        </w:rPr>
        <w:t>家，</w:t>
      </w:r>
      <w:r>
        <w:rPr>
          <w:rFonts w:hint="eastAsia"/>
        </w:rPr>
        <w:t>占全区养殖场比例为</w:t>
      </w:r>
      <w:r>
        <w:t>12.21</w:t>
      </w:r>
      <w:r>
        <w:rPr>
          <w:rFonts w:hint="eastAsia"/>
        </w:rPr>
        <w:t>%，</w:t>
      </w:r>
      <w:r>
        <w:rPr>
          <w:rFonts w:hint="eastAsia"/>
          <w:snapToGrid w:val="0"/>
          <w:kern w:val="0"/>
          <w:szCs w:val="28"/>
        </w:rPr>
        <w:t>主要分布在先锋、李市、油溪、龙华、永兴、柏林、蔡家、石门等镇；</w:t>
      </w:r>
      <w:r>
        <w:rPr>
          <w:rFonts w:hint="eastAsia"/>
        </w:rPr>
        <w:t>养鸡场共6</w:t>
      </w:r>
      <w:r>
        <w:t>7</w:t>
      </w:r>
      <w:r>
        <w:rPr>
          <w:rFonts w:hint="eastAsia"/>
        </w:rPr>
        <w:t>家，占全区养殖场比例为</w:t>
      </w:r>
      <w:r>
        <w:t>9.63</w:t>
      </w:r>
      <w:r>
        <w:rPr>
          <w:rFonts w:hint="eastAsia"/>
        </w:rPr>
        <w:t>%，主要分布在油溪、李市、德感、</w:t>
      </w:r>
      <w:r>
        <w:rPr>
          <w:snapToGrid w:val="0"/>
          <w:kern w:val="0"/>
          <w:szCs w:val="28"/>
        </w:rPr>
        <w:t>吴滩、</w:t>
      </w:r>
      <w:r>
        <w:rPr>
          <w:rFonts w:hint="eastAsia"/>
          <w:snapToGrid w:val="0"/>
          <w:kern w:val="0"/>
          <w:szCs w:val="28"/>
        </w:rPr>
        <w:t>龙华、贾嗣、柏林、石蟆等镇街；养羊场2</w:t>
      </w:r>
      <w:r>
        <w:rPr>
          <w:snapToGrid w:val="0"/>
          <w:kern w:val="0"/>
          <w:szCs w:val="28"/>
        </w:rPr>
        <w:t>7</w:t>
      </w:r>
      <w:r>
        <w:rPr>
          <w:rFonts w:hint="eastAsia"/>
          <w:snapToGrid w:val="0"/>
          <w:kern w:val="0"/>
          <w:szCs w:val="28"/>
        </w:rPr>
        <w:t>家，</w:t>
      </w:r>
      <w:r>
        <w:rPr>
          <w:rFonts w:hint="eastAsia"/>
        </w:rPr>
        <w:t>占全区养殖场比例为</w:t>
      </w:r>
      <w:r>
        <w:t>3.87</w:t>
      </w:r>
      <w:r>
        <w:rPr>
          <w:rFonts w:hint="eastAsia"/>
        </w:rPr>
        <w:t>%，</w:t>
      </w:r>
      <w:r>
        <w:rPr>
          <w:rFonts w:hint="eastAsia"/>
          <w:snapToGrid w:val="0"/>
          <w:kern w:val="0"/>
          <w:szCs w:val="28"/>
        </w:rPr>
        <w:t>主要分布在石蟆、杜市、西湖、李市、贾嗣、油溪、广兴等镇；养兔场</w:t>
      </w:r>
      <w:r>
        <w:rPr>
          <w:snapToGrid w:val="0"/>
          <w:kern w:val="0"/>
          <w:szCs w:val="28"/>
        </w:rPr>
        <w:t>15</w:t>
      </w:r>
      <w:r>
        <w:rPr>
          <w:rFonts w:hint="eastAsia"/>
          <w:snapToGrid w:val="0"/>
          <w:kern w:val="0"/>
          <w:szCs w:val="28"/>
        </w:rPr>
        <w:t>家，</w:t>
      </w:r>
      <w:r>
        <w:rPr>
          <w:rFonts w:hint="eastAsia"/>
        </w:rPr>
        <w:t>占全区养殖场比例为</w:t>
      </w:r>
      <w:r>
        <w:t>2.15</w:t>
      </w:r>
      <w:r>
        <w:rPr>
          <w:rFonts w:hint="eastAsia"/>
        </w:rPr>
        <w:t>%，</w:t>
      </w:r>
      <w:r>
        <w:rPr>
          <w:rFonts w:hint="eastAsia"/>
          <w:snapToGrid w:val="0"/>
          <w:kern w:val="0"/>
          <w:szCs w:val="28"/>
        </w:rPr>
        <w:t>主要分布在杜市、油溪、广兴、朱杨等镇；养鸭场</w:t>
      </w:r>
      <w:r>
        <w:rPr>
          <w:snapToGrid w:val="0"/>
          <w:kern w:val="0"/>
          <w:szCs w:val="28"/>
        </w:rPr>
        <w:t>9</w:t>
      </w:r>
      <w:r>
        <w:rPr>
          <w:rFonts w:hint="eastAsia"/>
          <w:snapToGrid w:val="0"/>
          <w:kern w:val="0"/>
          <w:szCs w:val="28"/>
        </w:rPr>
        <w:t>家，</w:t>
      </w:r>
      <w:r>
        <w:rPr>
          <w:rFonts w:hint="eastAsia"/>
        </w:rPr>
        <w:t>占全区养殖场比例为</w:t>
      </w:r>
      <w:r>
        <w:t>1.29</w:t>
      </w:r>
      <w:r>
        <w:rPr>
          <w:rFonts w:hint="eastAsia"/>
        </w:rPr>
        <w:t>%，</w:t>
      </w:r>
      <w:r>
        <w:rPr>
          <w:rFonts w:hint="eastAsia"/>
          <w:snapToGrid w:val="0"/>
          <w:kern w:val="0"/>
          <w:szCs w:val="28"/>
        </w:rPr>
        <w:t>主要分布在油溪、朱杨、广兴、先锋等镇；养鹅场2家，</w:t>
      </w:r>
      <w:r>
        <w:rPr>
          <w:rFonts w:hint="eastAsia"/>
        </w:rPr>
        <w:t>占全区养殖场比例为</w:t>
      </w:r>
      <w:r>
        <w:t>0.28</w:t>
      </w:r>
      <w:r>
        <w:rPr>
          <w:rFonts w:hint="eastAsia"/>
        </w:rPr>
        <w:t>%，</w:t>
      </w:r>
      <w:r>
        <w:rPr>
          <w:rFonts w:hint="eastAsia"/>
          <w:snapToGrid w:val="0"/>
          <w:kern w:val="0"/>
          <w:szCs w:val="28"/>
        </w:rPr>
        <w:t>分布在石蟆镇、白沙镇；养鸽场4家，</w:t>
      </w:r>
      <w:r>
        <w:rPr>
          <w:rFonts w:hint="eastAsia"/>
        </w:rPr>
        <w:t>占全区养殖场比例为0</w:t>
      </w:r>
      <w:r>
        <w:t>.57</w:t>
      </w:r>
      <w:r>
        <w:rPr>
          <w:rFonts w:hint="eastAsia"/>
        </w:rPr>
        <w:t>%，</w:t>
      </w:r>
      <w:r>
        <w:rPr>
          <w:rFonts w:hint="eastAsia"/>
          <w:snapToGrid w:val="0"/>
          <w:kern w:val="0"/>
          <w:szCs w:val="28"/>
        </w:rPr>
        <w:t>分布在广兴镇、杜市镇；鹌鹑养殖场1家，</w:t>
      </w:r>
      <w:r>
        <w:rPr>
          <w:rFonts w:hint="eastAsia"/>
        </w:rPr>
        <w:t>占全区养殖场比例为0</w:t>
      </w:r>
      <w:r>
        <w:t>.14</w:t>
      </w:r>
      <w:r>
        <w:rPr>
          <w:rFonts w:hint="eastAsia"/>
        </w:rPr>
        <w:t>%，</w:t>
      </w:r>
      <w:r>
        <w:rPr>
          <w:rFonts w:hint="eastAsia"/>
          <w:snapToGrid w:val="0"/>
          <w:kern w:val="0"/>
          <w:szCs w:val="28"/>
        </w:rPr>
        <w:t>位于李市镇。</w:t>
      </w:r>
    </w:p>
    <w:p>
      <w:pPr>
        <w:ind w:firstLine="632"/>
        <w:rPr>
          <w:snapToGrid w:val="0"/>
          <w:kern w:val="0"/>
          <w:szCs w:val="28"/>
        </w:rPr>
      </w:pPr>
    </w:p>
    <w:p>
      <w:pPr>
        <w:ind w:firstLine="632"/>
        <w:rPr>
          <w:snapToGrid w:val="0"/>
          <w:kern w:val="0"/>
          <w:szCs w:val="28"/>
        </w:rPr>
        <w:sectPr>
          <w:pgSz w:w="11906" w:h="16838"/>
          <w:pgMar w:top="2098" w:right="1474" w:bottom="1985" w:left="1588" w:header="851" w:footer="992" w:gutter="0"/>
          <w:cols w:space="425" w:num="1"/>
          <w:docGrid w:type="linesAndChars" w:linePitch="579" w:charSpace="-849"/>
        </w:sectPr>
      </w:pPr>
    </w:p>
    <w:p>
      <w:pPr>
        <w:wordWrap w:val="0"/>
        <w:ind w:firstLine="552"/>
        <w:jc w:val="center"/>
        <w:rPr>
          <w:rFonts w:eastAsia="方正黑体_GBK"/>
          <w:sz w:val="28"/>
          <w:szCs w:val="28"/>
        </w:rPr>
      </w:pPr>
      <w:r>
        <w:rPr>
          <w:rFonts w:hint="eastAsia" w:eastAsia="方正黑体_GBK"/>
          <w:sz w:val="28"/>
          <w:szCs w:val="28"/>
        </w:rPr>
        <w:t>表</w:t>
      </w:r>
      <w:r>
        <w:rPr>
          <w:rFonts w:eastAsia="方正黑体_GBK"/>
          <w:sz w:val="28"/>
          <w:szCs w:val="28"/>
        </w:rPr>
        <w:t xml:space="preserve">2-6  </w:t>
      </w:r>
      <w:r>
        <w:rPr>
          <w:rFonts w:hint="eastAsia" w:eastAsia="方正黑体_GBK"/>
          <w:sz w:val="28"/>
          <w:szCs w:val="28"/>
        </w:rPr>
        <w:t xml:space="preserve">江津区畜禽养殖场镇街分布表 </w:t>
      </w:r>
      <w:r>
        <w:rPr>
          <w:rFonts w:eastAsia="方正黑体_GBK"/>
          <w:sz w:val="28"/>
          <w:szCs w:val="28"/>
        </w:rPr>
        <w:t xml:space="preserve"> </w:t>
      </w:r>
      <w:r>
        <w:rPr>
          <w:rFonts w:hint="eastAsia" w:eastAsia="方正黑体_GBK"/>
          <w:sz w:val="24"/>
          <w:szCs w:val="24"/>
        </w:rPr>
        <w:t>单位：家</w:t>
      </w:r>
    </w:p>
    <w:tbl>
      <w:tblPr>
        <w:tblStyle w:val="10"/>
        <w:tblW w:w="11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1000"/>
        <w:gridCol w:w="1000"/>
        <w:gridCol w:w="1000"/>
        <w:gridCol w:w="1000"/>
        <w:gridCol w:w="1000"/>
        <w:gridCol w:w="1000"/>
        <w:gridCol w:w="1000"/>
        <w:gridCol w:w="1000"/>
        <w:gridCol w:w="100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621" w:type="dxa"/>
            <w:shd w:val="clear" w:color="auto" w:fill="auto"/>
            <w:noWrap/>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镇街名称</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猪</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牛</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鸡</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羊</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兔</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鸭</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鹅</w:t>
            </w:r>
          </w:p>
        </w:tc>
        <w:tc>
          <w:tcPr>
            <w:tcW w:w="1000" w:type="dxa"/>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鸽</w:t>
            </w:r>
          </w:p>
        </w:tc>
        <w:tc>
          <w:tcPr>
            <w:tcW w:w="1000" w:type="dxa"/>
            <w:shd w:val="clear" w:color="auto" w:fill="auto"/>
            <w:noWrap/>
            <w:vAlign w:val="center"/>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鹌鹑</w:t>
            </w:r>
          </w:p>
        </w:tc>
        <w:tc>
          <w:tcPr>
            <w:tcW w:w="1000" w:type="dxa"/>
          </w:tcPr>
          <w:p>
            <w:pPr>
              <w:spacing w:line="300" w:lineRule="exact"/>
              <w:ind w:firstLine="0" w:firstLineChars="0"/>
              <w:jc w:val="center"/>
              <w:rPr>
                <w:rFonts w:ascii="方正黑体_GBK" w:eastAsia="方正黑体_GBK" w:cs="Arial"/>
                <w:kern w:val="0"/>
                <w:sz w:val="24"/>
                <w:szCs w:val="24"/>
              </w:rPr>
            </w:pPr>
            <w:r>
              <w:rPr>
                <w:rFonts w:hint="eastAsia" w:ascii="方正黑体_GBK" w:eastAsia="方正黑体_GBK" w:cs="Arial"/>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30</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38</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支坪镇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50</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贾嗣镇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35</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杜市镇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26</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25</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30</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26</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蔡家镇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7</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17</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双福街道</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15</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石门镇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3</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永兴镇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9</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朱杨镇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广兴镇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8</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几江街道</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珞璜镇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7</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四面山镇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中山镇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四屏镇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塘河镇</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1</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shd w:val="clear" w:color="auto" w:fill="auto"/>
            <w:noWrap/>
            <w:vAlign w:val="center"/>
          </w:tcPr>
          <w:p>
            <w:pPr>
              <w:spacing w:line="300" w:lineRule="exact"/>
              <w:ind w:firstLine="0" w:firstLineChars="0"/>
              <w:jc w:val="center"/>
              <w:rPr>
                <w:rFonts w:cs="Arial"/>
                <w:sz w:val="24"/>
                <w:szCs w:val="24"/>
              </w:rPr>
            </w:pPr>
            <w:r>
              <w:rPr>
                <w:rFonts w:hint="eastAsia" w:ascii="方正仿宋_GBK" w:hAnsi="Arial" w:cs="Arial"/>
                <w:sz w:val="24"/>
                <w:szCs w:val="24"/>
              </w:rPr>
              <w:t>—</w:t>
            </w:r>
          </w:p>
        </w:tc>
        <w:tc>
          <w:tcPr>
            <w:tcW w:w="1000" w:type="dxa"/>
            <w:vAlign w:val="center"/>
          </w:tcPr>
          <w:p>
            <w:pPr>
              <w:spacing w:line="300" w:lineRule="exact"/>
              <w:ind w:firstLine="0" w:firstLineChars="0"/>
              <w:jc w:val="center"/>
              <w:rPr>
                <w:rFonts w:cs="Arial"/>
                <w:sz w:val="24"/>
                <w:szCs w:val="24"/>
              </w:rPr>
            </w:pPr>
            <w:r>
              <w:rPr>
                <w:rFonts w:cs="Times New Roman"/>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621"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1000" w:type="dxa"/>
            <w:vAlign w:val="bottom"/>
          </w:tcPr>
          <w:p>
            <w:pPr>
              <w:spacing w:line="300" w:lineRule="exact"/>
              <w:ind w:firstLine="0" w:firstLineChars="0"/>
              <w:jc w:val="center"/>
              <w:rPr>
                <w:rFonts w:cs="Arial"/>
                <w:sz w:val="24"/>
                <w:szCs w:val="24"/>
              </w:rPr>
            </w:pPr>
            <w:r>
              <w:rPr>
                <w:rFonts w:cs="Arial"/>
                <w:sz w:val="24"/>
                <w:szCs w:val="24"/>
              </w:rPr>
              <w:t>496</w:t>
            </w:r>
          </w:p>
        </w:tc>
        <w:tc>
          <w:tcPr>
            <w:tcW w:w="1000" w:type="dxa"/>
            <w:vAlign w:val="bottom"/>
          </w:tcPr>
          <w:p>
            <w:pPr>
              <w:spacing w:line="300" w:lineRule="exact"/>
              <w:ind w:firstLine="0" w:firstLineChars="0"/>
              <w:jc w:val="center"/>
              <w:rPr>
                <w:rFonts w:cs="Arial"/>
                <w:sz w:val="24"/>
                <w:szCs w:val="24"/>
              </w:rPr>
            </w:pPr>
            <w:r>
              <w:rPr>
                <w:rFonts w:cs="Arial"/>
                <w:sz w:val="24"/>
                <w:szCs w:val="24"/>
              </w:rPr>
              <w:t>76</w:t>
            </w:r>
          </w:p>
        </w:tc>
        <w:tc>
          <w:tcPr>
            <w:tcW w:w="1000" w:type="dxa"/>
            <w:vAlign w:val="bottom"/>
          </w:tcPr>
          <w:p>
            <w:pPr>
              <w:spacing w:line="300" w:lineRule="exact"/>
              <w:ind w:firstLine="0" w:firstLineChars="0"/>
              <w:jc w:val="center"/>
              <w:rPr>
                <w:rFonts w:cs="Arial"/>
                <w:sz w:val="24"/>
                <w:szCs w:val="24"/>
              </w:rPr>
            </w:pPr>
            <w:r>
              <w:rPr>
                <w:rFonts w:cs="Arial"/>
                <w:sz w:val="24"/>
                <w:szCs w:val="24"/>
              </w:rPr>
              <w:t>67</w:t>
            </w:r>
          </w:p>
        </w:tc>
        <w:tc>
          <w:tcPr>
            <w:tcW w:w="1000" w:type="dxa"/>
            <w:vAlign w:val="bottom"/>
          </w:tcPr>
          <w:p>
            <w:pPr>
              <w:spacing w:line="300" w:lineRule="exact"/>
              <w:ind w:firstLine="0" w:firstLineChars="0"/>
              <w:jc w:val="center"/>
              <w:rPr>
                <w:rFonts w:cs="Arial"/>
                <w:sz w:val="24"/>
                <w:szCs w:val="24"/>
              </w:rPr>
            </w:pPr>
            <w:r>
              <w:rPr>
                <w:rFonts w:cs="Arial"/>
                <w:sz w:val="24"/>
                <w:szCs w:val="24"/>
              </w:rPr>
              <w:t>27</w:t>
            </w:r>
          </w:p>
        </w:tc>
        <w:tc>
          <w:tcPr>
            <w:tcW w:w="1000" w:type="dxa"/>
            <w:vAlign w:val="bottom"/>
          </w:tcPr>
          <w:p>
            <w:pPr>
              <w:spacing w:line="300" w:lineRule="exact"/>
              <w:ind w:firstLine="0" w:firstLineChars="0"/>
              <w:jc w:val="center"/>
              <w:rPr>
                <w:rFonts w:cs="Arial"/>
                <w:sz w:val="24"/>
                <w:szCs w:val="24"/>
              </w:rPr>
            </w:pPr>
            <w:r>
              <w:rPr>
                <w:rFonts w:cs="Arial"/>
                <w:sz w:val="24"/>
                <w:szCs w:val="24"/>
              </w:rPr>
              <w:t>15</w:t>
            </w:r>
          </w:p>
        </w:tc>
        <w:tc>
          <w:tcPr>
            <w:tcW w:w="1000" w:type="dxa"/>
            <w:vAlign w:val="bottom"/>
          </w:tcPr>
          <w:p>
            <w:pPr>
              <w:spacing w:line="300" w:lineRule="exact"/>
              <w:ind w:firstLine="0" w:firstLineChars="0"/>
              <w:jc w:val="center"/>
              <w:rPr>
                <w:rFonts w:cs="Arial"/>
                <w:sz w:val="24"/>
                <w:szCs w:val="24"/>
              </w:rPr>
            </w:pPr>
            <w:r>
              <w:rPr>
                <w:rFonts w:cs="Arial"/>
                <w:sz w:val="24"/>
                <w:szCs w:val="24"/>
              </w:rPr>
              <w:t>9</w:t>
            </w:r>
          </w:p>
        </w:tc>
        <w:tc>
          <w:tcPr>
            <w:tcW w:w="1000" w:type="dxa"/>
            <w:vAlign w:val="bottom"/>
          </w:tcPr>
          <w:p>
            <w:pPr>
              <w:spacing w:line="300" w:lineRule="exact"/>
              <w:ind w:firstLine="0" w:firstLineChars="0"/>
              <w:jc w:val="center"/>
              <w:rPr>
                <w:rFonts w:cs="Arial"/>
                <w:sz w:val="24"/>
                <w:szCs w:val="24"/>
              </w:rPr>
            </w:pPr>
            <w:r>
              <w:rPr>
                <w:rFonts w:cs="Arial"/>
                <w:sz w:val="24"/>
                <w:szCs w:val="24"/>
              </w:rPr>
              <w:t>2</w:t>
            </w:r>
          </w:p>
        </w:tc>
        <w:tc>
          <w:tcPr>
            <w:tcW w:w="1000" w:type="dxa"/>
            <w:vAlign w:val="bottom"/>
          </w:tcPr>
          <w:p>
            <w:pPr>
              <w:spacing w:line="300" w:lineRule="exact"/>
              <w:ind w:firstLine="0" w:firstLineChars="0"/>
              <w:jc w:val="center"/>
              <w:rPr>
                <w:rFonts w:cs="Arial"/>
                <w:sz w:val="24"/>
                <w:szCs w:val="24"/>
              </w:rPr>
            </w:pPr>
            <w:r>
              <w:rPr>
                <w:rFonts w:cs="Arial"/>
                <w:sz w:val="24"/>
                <w:szCs w:val="24"/>
              </w:rPr>
              <w:t>3</w:t>
            </w:r>
          </w:p>
        </w:tc>
        <w:tc>
          <w:tcPr>
            <w:tcW w:w="1000" w:type="dxa"/>
            <w:shd w:val="clear" w:color="auto" w:fill="auto"/>
            <w:noWrap/>
            <w:vAlign w:val="bottom"/>
          </w:tcPr>
          <w:p>
            <w:pPr>
              <w:spacing w:line="300" w:lineRule="exact"/>
              <w:ind w:firstLine="0" w:firstLineChars="0"/>
              <w:jc w:val="center"/>
              <w:rPr>
                <w:rFonts w:cs="Arial"/>
                <w:sz w:val="24"/>
                <w:szCs w:val="24"/>
              </w:rPr>
            </w:pPr>
            <w:r>
              <w:rPr>
                <w:rFonts w:cs="Arial"/>
                <w:sz w:val="24"/>
                <w:szCs w:val="24"/>
              </w:rPr>
              <w:t>1</w:t>
            </w:r>
          </w:p>
        </w:tc>
        <w:tc>
          <w:tcPr>
            <w:tcW w:w="1000" w:type="dxa"/>
            <w:vAlign w:val="bottom"/>
          </w:tcPr>
          <w:p>
            <w:pPr>
              <w:spacing w:line="300" w:lineRule="exact"/>
              <w:ind w:firstLine="0" w:firstLineChars="0"/>
              <w:jc w:val="center"/>
              <w:rPr>
                <w:rFonts w:cs="Arial"/>
                <w:sz w:val="24"/>
                <w:szCs w:val="24"/>
              </w:rPr>
            </w:pPr>
            <w:r>
              <w:rPr>
                <w:rFonts w:cs="Arial"/>
                <w:sz w:val="24"/>
                <w:szCs w:val="24"/>
              </w:rPr>
              <w:t>696</w:t>
            </w:r>
          </w:p>
        </w:tc>
      </w:tr>
    </w:tbl>
    <w:p>
      <w:pPr>
        <w:ind w:firstLine="632"/>
        <w:sectPr>
          <w:pgSz w:w="16838" w:h="11906" w:orient="landscape"/>
          <w:pgMar w:top="1588" w:right="2098" w:bottom="1474" w:left="1985" w:header="851" w:footer="992" w:gutter="0"/>
          <w:cols w:space="425" w:num="1"/>
          <w:docGrid w:type="linesAndChars" w:linePitch="579" w:charSpace="-849"/>
        </w:sectPr>
      </w:pPr>
    </w:p>
    <w:p>
      <w:pPr>
        <w:ind w:firstLine="632"/>
        <w:outlineLvl w:val="1"/>
        <w:rPr>
          <w:rFonts w:eastAsia="方正楷体_GBK"/>
          <w:szCs w:val="32"/>
        </w:rPr>
      </w:pPr>
      <w:bookmarkStart w:id="11" w:name="_Toc79166983"/>
      <w:r>
        <w:rPr>
          <w:rFonts w:hint="eastAsia" w:eastAsia="方正楷体_GBK"/>
          <w:szCs w:val="32"/>
        </w:rPr>
        <w:t>（二）江津区畜禽养殖“三区”现状分析</w:t>
      </w:r>
      <w:bookmarkEnd w:id="11"/>
    </w:p>
    <w:p>
      <w:pPr>
        <w:ind w:firstLine="632"/>
      </w:pPr>
      <w:r>
        <w:rPr>
          <w:rFonts w:hint="eastAsia"/>
        </w:rPr>
        <w:t>全区畜禽养殖禁养区斑块数量68个，面积约8</w:t>
      </w:r>
      <w:r>
        <w:t>45.97</w:t>
      </w:r>
      <w:r>
        <w:rPr>
          <w:rFonts w:hint="eastAsia"/>
        </w:rPr>
        <w:t>平方公里，其中四面山镇面积最大，为2</w:t>
      </w:r>
      <w:r>
        <w:t>07.90</w:t>
      </w:r>
      <w:r>
        <w:rPr>
          <w:rFonts w:hint="eastAsia"/>
        </w:rPr>
        <w:t>平方千米，占禁养区比例为2</w:t>
      </w:r>
      <w:r>
        <w:t>4.58</w:t>
      </w:r>
      <w:r>
        <w:rPr>
          <w:rFonts w:hint="eastAsia"/>
        </w:rPr>
        <w:t>%。限养区斑块数量163个，面积约</w:t>
      </w:r>
      <w:r>
        <w:t>380.93</w:t>
      </w:r>
      <w:r>
        <w:rPr>
          <w:rFonts w:hint="eastAsia"/>
        </w:rPr>
        <w:t>平方公里，其中德感街道面积最大，为4</w:t>
      </w:r>
      <w:r>
        <w:t>5.93</w:t>
      </w:r>
      <w:r>
        <w:rPr>
          <w:rFonts w:hint="eastAsia"/>
        </w:rPr>
        <w:t>平方千米，占限养区比例为1</w:t>
      </w:r>
      <w:r>
        <w:t>2.06</w:t>
      </w:r>
      <w:r>
        <w:rPr>
          <w:rFonts w:hint="eastAsia"/>
        </w:rPr>
        <w:t>%。其余均为畜禽养殖适养区，面积约199</w:t>
      </w:r>
      <w:r>
        <w:t>2.15</w:t>
      </w:r>
      <w:r>
        <w:rPr>
          <w:rFonts w:hint="eastAsia"/>
        </w:rPr>
        <w:t>平方公里，其中蔡家镇面积最大，为1</w:t>
      </w:r>
      <w:r>
        <w:t>76.36</w:t>
      </w:r>
      <w:r>
        <w:rPr>
          <w:rFonts w:hint="eastAsia"/>
        </w:rPr>
        <w:t>平方千米，占适养区面积为8</w:t>
      </w:r>
      <w:r>
        <w:t>.85</w:t>
      </w:r>
      <w:r>
        <w:rPr>
          <w:rFonts w:hint="eastAsia"/>
        </w:rPr>
        <w:t>%。</w:t>
      </w:r>
    </w:p>
    <w:p>
      <w:pPr>
        <w:ind w:firstLine="632"/>
      </w:pPr>
      <w:r>
        <w:rPr>
          <w:rFonts w:hint="eastAsia"/>
        </w:rPr>
        <w:t>全区畜禽养殖禁养区内畜禽养殖场已全部关闭，无任何养殖存在。</w:t>
      </w:r>
    </w:p>
    <w:p>
      <w:pPr>
        <w:ind w:firstLine="632"/>
      </w:pPr>
      <w:r>
        <w:rPr>
          <w:rFonts w:hint="eastAsia"/>
        </w:rPr>
        <w:t>全区畜禽养殖限养区养殖数量（猪当量）为</w:t>
      </w:r>
      <w:r>
        <w:t>39050</w:t>
      </w:r>
      <w:r>
        <w:rPr>
          <w:rFonts w:hint="eastAsia"/>
        </w:rPr>
        <w:t>头，其中德感街道、圣泉街道、蔡家镇养殖数量位居前列，分别为1</w:t>
      </w:r>
      <w:r>
        <w:t>7403</w:t>
      </w:r>
      <w:r>
        <w:rPr>
          <w:rFonts w:hint="eastAsia"/>
        </w:rPr>
        <w:t>头、4</w:t>
      </w:r>
      <w:r>
        <w:t>155</w:t>
      </w:r>
      <w:r>
        <w:rPr>
          <w:rFonts w:hint="eastAsia"/>
        </w:rPr>
        <w:t>头、4</w:t>
      </w:r>
      <w:r>
        <w:t>035</w:t>
      </w:r>
      <w:r>
        <w:rPr>
          <w:rFonts w:hint="eastAsia"/>
        </w:rPr>
        <w:t>头；白沙镇、柏林镇、慈云镇、鼎山街道、杜市镇、广兴镇、嘉平镇、贾嗣镇、龙华镇、石门镇、四屏镇、塘河镇、吴滩镇、西湖镇、夏坝镇以及朱杨镇均未养殖。全区畜禽养殖限养区平均养殖量为</w:t>
      </w:r>
      <w:r>
        <w:t>103</w:t>
      </w:r>
      <w:r>
        <w:rPr>
          <w:rFonts w:hint="eastAsia"/>
        </w:rPr>
        <w:t>头/平方千米，其中德感街道最大，为3</w:t>
      </w:r>
      <w:r>
        <w:t>79</w:t>
      </w:r>
      <w:r>
        <w:rPr>
          <w:rFonts w:hint="eastAsia"/>
        </w:rPr>
        <w:t>头/平方千米；其次是先锋镇，为3</w:t>
      </w:r>
      <w:r>
        <w:t>28</w:t>
      </w:r>
      <w:r>
        <w:rPr>
          <w:rFonts w:hint="eastAsia"/>
        </w:rPr>
        <w:t>头/平方千米；然后是李市镇，为2</w:t>
      </w:r>
      <w:r>
        <w:t>24</w:t>
      </w:r>
      <w:r>
        <w:rPr>
          <w:rFonts w:hint="eastAsia"/>
        </w:rPr>
        <w:t>头/平方千米。</w:t>
      </w:r>
    </w:p>
    <w:p>
      <w:pPr>
        <w:ind w:firstLine="632"/>
      </w:pPr>
      <w:r>
        <w:rPr>
          <w:rFonts w:hint="eastAsia"/>
        </w:rPr>
        <w:t>全区畜禽养殖适养区养殖数量为（猪当量）为</w:t>
      </w:r>
      <w:r>
        <w:t>212569</w:t>
      </w:r>
      <w:r>
        <w:rPr>
          <w:rFonts w:hint="eastAsia"/>
        </w:rPr>
        <w:t>头，其中李市镇、白沙镇、吴滩镇位居前列，分别为5</w:t>
      </w:r>
      <w:r>
        <w:t>2759</w:t>
      </w:r>
      <w:r>
        <w:rPr>
          <w:rFonts w:hint="eastAsia"/>
        </w:rPr>
        <w:t>头、2</w:t>
      </w:r>
      <w:r>
        <w:t>6568</w:t>
      </w:r>
      <w:r>
        <w:rPr>
          <w:rFonts w:hint="eastAsia"/>
        </w:rPr>
        <w:t>头、2</w:t>
      </w:r>
      <w:r>
        <w:t>6307</w:t>
      </w:r>
      <w:r>
        <w:rPr>
          <w:rFonts w:hint="eastAsia"/>
        </w:rPr>
        <w:t>头；鼎山街道、中山镇、德感街道以及几江街道均未养殖。全区畜禽养殖适养区平均养殖量为</w:t>
      </w:r>
      <w:r>
        <w:t>107</w:t>
      </w:r>
      <w:r>
        <w:rPr>
          <w:rFonts w:hint="eastAsia"/>
        </w:rPr>
        <w:t>头/平方千米，其中塘河镇最大，为</w:t>
      </w:r>
      <w:r>
        <w:t>1177</w:t>
      </w:r>
      <w:r>
        <w:rPr>
          <w:rFonts w:hint="eastAsia"/>
        </w:rPr>
        <w:t>头/平方千米；其次是吴滩镇，为3</w:t>
      </w:r>
      <w:r>
        <w:t>97</w:t>
      </w:r>
      <w:r>
        <w:rPr>
          <w:rFonts w:hint="eastAsia"/>
        </w:rPr>
        <w:t>头/平方千米；然后是李市镇，为</w:t>
      </w:r>
      <w:r>
        <w:t>351</w:t>
      </w:r>
      <w:r>
        <w:rPr>
          <w:rFonts w:hint="eastAsia"/>
        </w:rPr>
        <w:t>头/平方千米。</w:t>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2-7  </w:t>
      </w:r>
      <w:r>
        <w:rPr>
          <w:rFonts w:hint="eastAsia" w:eastAsia="方正黑体_GBK"/>
          <w:sz w:val="28"/>
          <w:szCs w:val="28"/>
        </w:rPr>
        <w:t>江津区各镇街畜禽养殖“三区”分布情况</w:t>
      </w:r>
    </w:p>
    <w:tbl>
      <w:tblPr>
        <w:tblStyle w:val="10"/>
        <w:tblW w:w="9360"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403"/>
        <w:gridCol w:w="1467"/>
        <w:gridCol w:w="1378"/>
        <w:gridCol w:w="1205"/>
        <w:gridCol w:w="1346"/>
        <w:gridCol w:w="1238"/>
        <w:gridCol w:w="1323"/>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403" w:type="dxa"/>
            <w:vMerge w:val="restart"/>
            <w:noWrap/>
            <w:vAlign w:val="center"/>
          </w:tcPr>
          <w:p>
            <w:pPr>
              <w:pStyle w:val="21"/>
              <w:spacing w:line="300" w:lineRule="exact"/>
              <w:rPr>
                <w:rFonts w:ascii="方正黑体_GBK" w:eastAsia="方正黑体_GBK"/>
                <w:sz w:val="24"/>
              </w:rPr>
            </w:pPr>
            <w:bookmarkStart w:id="12" w:name="_Hlk77338171"/>
            <w:r>
              <w:rPr>
                <w:rFonts w:hint="eastAsia" w:ascii="方正黑体_GBK" w:eastAsia="方正黑体_GBK"/>
                <w:sz w:val="24"/>
              </w:rPr>
              <w:t>镇街名称</w:t>
            </w:r>
          </w:p>
        </w:tc>
        <w:tc>
          <w:tcPr>
            <w:tcW w:w="2845" w:type="dxa"/>
            <w:gridSpan w:val="2"/>
            <w:noWrap/>
            <w:vAlign w:val="center"/>
          </w:tcPr>
          <w:p>
            <w:pPr>
              <w:pStyle w:val="21"/>
              <w:spacing w:line="300" w:lineRule="exact"/>
              <w:rPr>
                <w:rFonts w:ascii="方正黑体_GBK" w:eastAsia="方正黑体_GBK"/>
                <w:sz w:val="24"/>
              </w:rPr>
            </w:pPr>
            <w:r>
              <w:rPr>
                <w:rFonts w:hint="eastAsia" w:ascii="方正黑体_GBK" w:eastAsia="方正黑体_GBK"/>
                <w:sz w:val="24"/>
              </w:rPr>
              <w:t>禁养区</w:t>
            </w:r>
          </w:p>
        </w:tc>
        <w:tc>
          <w:tcPr>
            <w:tcW w:w="2551" w:type="dxa"/>
            <w:gridSpan w:val="2"/>
            <w:noWrap/>
            <w:vAlign w:val="center"/>
          </w:tcPr>
          <w:p>
            <w:pPr>
              <w:pStyle w:val="21"/>
              <w:spacing w:line="300" w:lineRule="exact"/>
              <w:rPr>
                <w:rFonts w:ascii="方正黑体_GBK" w:eastAsia="方正黑体_GBK"/>
                <w:sz w:val="24"/>
              </w:rPr>
            </w:pPr>
            <w:r>
              <w:rPr>
                <w:rFonts w:hint="eastAsia" w:ascii="方正黑体_GBK" w:eastAsia="方正黑体_GBK"/>
                <w:sz w:val="24"/>
              </w:rPr>
              <w:t>限养区</w:t>
            </w:r>
          </w:p>
        </w:tc>
        <w:tc>
          <w:tcPr>
            <w:tcW w:w="2561" w:type="dxa"/>
            <w:gridSpan w:val="2"/>
            <w:noWrap/>
            <w:vAlign w:val="center"/>
          </w:tcPr>
          <w:p>
            <w:pPr>
              <w:pStyle w:val="21"/>
              <w:spacing w:line="300" w:lineRule="exact"/>
              <w:rPr>
                <w:rFonts w:ascii="方正黑体_GBK" w:eastAsia="方正黑体_GBK"/>
                <w:sz w:val="24"/>
              </w:rPr>
            </w:pPr>
            <w:r>
              <w:rPr>
                <w:rFonts w:hint="eastAsia" w:ascii="方正黑体_GBK" w:eastAsia="方正黑体_GBK"/>
                <w:sz w:val="24"/>
              </w:rPr>
              <w:t>适养区</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403" w:type="dxa"/>
            <w:vMerge w:val="continue"/>
            <w:vAlign w:val="center"/>
          </w:tcPr>
          <w:p>
            <w:pPr>
              <w:spacing w:line="300" w:lineRule="exact"/>
              <w:ind w:firstLine="0" w:firstLineChars="0"/>
              <w:rPr>
                <w:sz w:val="24"/>
                <w:szCs w:val="24"/>
              </w:rPr>
            </w:pPr>
          </w:p>
        </w:tc>
        <w:tc>
          <w:tcPr>
            <w:tcW w:w="1467" w:type="dxa"/>
            <w:noWrap/>
            <w:vAlign w:val="center"/>
          </w:tcPr>
          <w:p>
            <w:pPr>
              <w:pStyle w:val="21"/>
              <w:spacing w:line="300" w:lineRule="exact"/>
              <w:rPr>
                <w:rFonts w:eastAsia="方正黑体_GBK"/>
                <w:sz w:val="24"/>
              </w:rPr>
            </w:pPr>
            <w:r>
              <w:rPr>
                <w:rFonts w:hint="eastAsia" w:eastAsia="方正黑体_GBK"/>
                <w:sz w:val="24"/>
              </w:rPr>
              <w:t>面积</w:t>
            </w:r>
          </w:p>
          <w:p>
            <w:pPr>
              <w:pStyle w:val="21"/>
              <w:spacing w:line="300" w:lineRule="exact"/>
              <w:rPr>
                <w:rFonts w:eastAsia="方正黑体_GBK"/>
                <w:sz w:val="24"/>
              </w:rPr>
            </w:pPr>
            <w:r>
              <w:rPr>
                <w:rFonts w:hint="eastAsia" w:eastAsia="方正黑体_GBK"/>
                <w:sz w:val="24"/>
              </w:rPr>
              <w:t>（</w:t>
            </w:r>
            <w:r>
              <w:rPr>
                <w:rFonts w:eastAsia="方正黑体_GBK"/>
                <w:sz w:val="24"/>
              </w:rPr>
              <w:t>km</w:t>
            </w:r>
            <w:r>
              <w:rPr>
                <w:rFonts w:eastAsia="方正黑体_GBK"/>
                <w:sz w:val="24"/>
                <w:vertAlign w:val="superscript"/>
              </w:rPr>
              <w:t>2</w:t>
            </w:r>
            <w:r>
              <w:rPr>
                <w:rFonts w:hint="eastAsia" w:eastAsia="方正黑体_GBK"/>
                <w:sz w:val="24"/>
              </w:rPr>
              <w:t>）</w:t>
            </w:r>
          </w:p>
        </w:tc>
        <w:tc>
          <w:tcPr>
            <w:tcW w:w="1378" w:type="dxa"/>
            <w:noWrap/>
            <w:vAlign w:val="center"/>
          </w:tcPr>
          <w:p>
            <w:pPr>
              <w:pStyle w:val="21"/>
              <w:spacing w:line="300" w:lineRule="exact"/>
              <w:rPr>
                <w:rFonts w:eastAsia="方正黑体_GBK"/>
                <w:sz w:val="24"/>
              </w:rPr>
            </w:pPr>
            <w:r>
              <w:rPr>
                <w:rFonts w:hint="eastAsia" w:eastAsia="方正黑体_GBK"/>
                <w:sz w:val="24"/>
              </w:rPr>
              <w:t>占比</w:t>
            </w:r>
          </w:p>
          <w:p>
            <w:pPr>
              <w:pStyle w:val="21"/>
              <w:spacing w:line="300" w:lineRule="exact"/>
              <w:rPr>
                <w:rFonts w:eastAsia="方正黑体_GBK"/>
                <w:sz w:val="24"/>
              </w:rPr>
            </w:pPr>
            <w:r>
              <w:rPr>
                <w:rFonts w:hint="eastAsia" w:eastAsia="方正黑体_GBK"/>
                <w:sz w:val="24"/>
              </w:rPr>
              <w:t>（</w:t>
            </w:r>
            <w:r>
              <w:rPr>
                <w:rFonts w:eastAsia="方正黑体_GBK"/>
                <w:sz w:val="24"/>
              </w:rPr>
              <w:t>%</w:t>
            </w:r>
            <w:r>
              <w:rPr>
                <w:rFonts w:hint="eastAsia" w:eastAsia="方正黑体_GBK"/>
                <w:sz w:val="24"/>
              </w:rPr>
              <w:t>）</w:t>
            </w:r>
          </w:p>
        </w:tc>
        <w:tc>
          <w:tcPr>
            <w:tcW w:w="1205" w:type="dxa"/>
            <w:noWrap/>
            <w:vAlign w:val="center"/>
          </w:tcPr>
          <w:p>
            <w:pPr>
              <w:pStyle w:val="21"/>
              <w:spacing w:line="300" w:lineRule="exact"/>
              <w:rPr>
                <w:rFonts w:eastAsia="方正黑体_GBK"/>
                <w:sz w:val="24"/>
              </w:rPr>
            </w:pPr>
            <w:r>
              <w:rPr>
                <w:rFonts w:hint="eastAsia" w:eastAsia="方正黑体_GBK"/>
                <w:sz w:val="24"/>
              </w:rPr>
              <w:t>面积</w:t>
            </w:r>
          </w:p>
          <w:p>
            <w:pPr>
              <w:pStyle w:val="21"/>
              <w:spacing w:line="300" w:lineRule="exact"/>
              <w:rPr>
                <w:rFonts w:eastAsia="方正黑体_GBK"/>
                <w:sz w:val="24"/>
              </w:rPr>
            </w:pPr>
            <w:r>
              <w:rPr>
                <w:rFonts w:hint="eastAsia" w:eastAsia="方正黑体_GBK"/>
                <w:sz w:val="24"/>
              </w:rPr>
              <w:t>（</w:t>
            </w:r>
            <w:r>
              <w:rPr>
                <w:rFonts w:eastAsia="方正黑体_GBK"/>
                <w:sz w:val="24"/>
              </w:rPr>
              <w:t>km</w:t>
            </w:r>
            <w:r>
              <w:rPr>
                <w:rFonts w:eastAsia="方正黑体_GBK"/>
                <w:sz w:val="24"/>
                <w:vertAlign w:val="superscript"/>
              </w:rPr>
              <w:t>2</w:t>
            </w:r>
            <w:r>
              <w:rPr>
                <w:rFonts w:hint="eastAsia" w:eastAsia="方正黑体_GBK"/>
                <w:sz w:val="24"/>
              </w:rPr>
              <w:t>）</w:t>
            </w:r>
          </w:p>
        </w:tc>
        <w:tc>
          <w:tcPr>
            <w:tcW w:w="1346" w:type="dxa"/>
            <w:noWrap/>
            <w:vAlign w:val="center"/>
          </w:tcPr>
          <w:p>
            <w:pPr>
              <w:pStyle w:val="21"/>
              <w:spacing w:line="300" w:lineRule="exact"/>
              <w:rPr>
                <w:rFonts w:eastAsia="方正黑体_GBK"/>
                <w:sz w:val="24"/>
              </w:rPr>
            </w:pPr>
            <w:r>
              <w:rPr>
                <w:rFonts w:hint="eastAsia" w:eastAsia="方正黑体_GBK"/>
                <w:sz w:val="24"/>
              </w:rPr>
              <w:t>占比</w:t>
            </w:r>
          </w:p>
          <w:p>
            <w:pPr>
              <w:pStyle w:val="21"/>
              <w:spacing w:line="300" w:lineRule="exact"/>
              <w:rPr>
                <w:rFonts w:eastAsia="方正黑体_GBK"/>
                <w:sz w:val="24"/>
              </w:rPr>
            </w:pPr>
            <w:r>
              <w:rPr>
                <w:rFonts w:hint="eastAsia" w:eastAsia="方正黑体_GBK"/>
                <w:sz w:val="24"/>
              </w:rPr>
              <w:t>（</w:t>
            </w:r>
            <w:r>
              <w:rPr>
                <w:rFonts w:eastAsia="方正黑体_GBK"/>
                <w:sz w:val="24"/>
              </w:rPr>
              <w:t>%</w:t>
            </w:r>
            <w:r>
              <w:rPr>
                <w:rFonts w:hint="eastAsia" w:eastAsia="方正黑体_GBK"/>
                <w:sz w:val="24"/>
              </w:rPr>
              <w:t>）</w:t>
            </w:r>
          </w:p>
        </w:tc>
        <w:tc>
          <w:tcPr>
            <w:tcW w:w="1238" w:type="dxa"/>
            <w:noWrap/>
            <w:vAlign w:val="center"/>
          </w:tcPr>
          <w:p>
            <w:pPr>
              <w:pStyle w:val="21"/>
              <w:spacing w:line="300" w:lineRule="exact"/>
              <w:rPr>
                <w:rFonts w:eastAsia="方正黑体_GBK"/>
                <w:sz w:val="24"/>
              </w:rPr>
            </w:pPr>
            <w:r>
              <w:rPr>
                <w:rFonts w:hint="eastAsia" w:eastAsia="方正黑体_GBK"/>
                <w:sz w:val="24"/>
              </w:rPr>
              <w:t>面积</w:t>
            </w:r>
          </w:p>
          <w:p>
            <w:pPr>
              <w:pStyle w:val="21"/>
              <w:spacing w:line="300" w:lineRule="exact"/>
              <w:rPr>
                <w:rFonts w:eastAsia="方正黑体_GBK"/>
                <w:sz w:val="24"/>
              </w:rPr>
            </w:pPr>
            <w:r>
              <w:rPr>
                <w:rFonts w:hint="eastAsia" w:eastAsia="方正黑体_GBK"/>
                <w:sz w:val="24"/>
              </w:rPr>
              <w:t>（</w:t>
            </w:r>
            <w:r>
              <w:rPr>
                <w:rFonts w:eastAsia="方正黑体_GBK"/>
                <w:sz w:val="24"/>
              </w:rPr>
              <w:t>km</w:t>
            </w:r>
            <w:r>
              <w:rPr>
                <w:rFonts w:eastAsia="方正黑体_GBK"/>
                <w:sz w:val="24"/>
                <w:vertAlign w:val="superscript"/>
              </w:rPr>
              <w:t>2</w:t>
            </w:r>
            <w:r>
              <w:rPr>
                <w:rFonts w:hint="eastAsia" w:eastAsia="方正黑体_GBK"/>
                <w:sz w:val="24"/>
              </w:rPr>
              <w:t>）</w:t>
            </w:r>
          </w:p>
        </w:tc>
        <w:tc>
          <w:tcPr>
            <w:tcW w:w="1323" w:type="dxa"/>
            <w:noWrap/>
            <w:vAlign w:val="center"/>
          </w:tcPr>
          <w:p>
            <w:pPr>
              <w:pStyle w:val="21"/>
              <w:spacing w:line="300" w:lineRule="exact"/>
              <w:rPr>
                <w:rFonts w:eastAsia="方正黑体_GBK"/>
                <w:sz w:val="24"/>
              </w:rPr>
            </w:pPr>
            <w:r>
              <w:rPr>
                <w:rFonts w:hint="eastAsia" w:eastAsia="方正黑体_GBK"/>
                <w:sz w:val="24"/>
              </w:rPr>
              <w:t>占比</w:t>
            </w:r>
          </w:p>
          <w:p>
            <w:pPr>
              <w:pStyle w:val="21"/>
              <w:spacing w:line="300" w:lineRule="exact"/>
              <w:rPr>
                <w:rFonts w:eastAsia="方正黑体_GBK"/>
                <w:sz w:val="24"/>
              </w:rPr>
            </w:pPr>
            <w:r>
              <w:rPr>
                <w:rFonts w:hint="eastAsia" w:eastAsia="方正黑体_GBK"/>
                <w:sz w:val="24"/>
              </w:rPr>
              <w:t>（</w:t>
            </w:r>
            <w:r>
              <w:rPr>
                <w:rFonts w:eastAsia="方正黑体_GBK"/>
                <w:sz w:val="24"/>
              </w:rPr>
              <w:t>%</w:t>
            </w:r>
            <w:r>
              <w:rPr>
                <w:rFonts w:hint="eastAsia" w:eastAsia="方正黑体_GBK"/>
                <w:sz w:val="24"/>
              </w:rPr>
              <w:t>）</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白沙镇</w:t>
            </w:r>
          </w:p>
        </w:tc>
        <w:tc>
          <w:tcPr>
            <w:tcW w:w="1467" w:type="dxa"/>
            <w:noWrap/>
            <w:vAlign w:val="center"/>
          </w:tcPr>
          <w:p>
            <w:pPr>
              <w:pStyle w:val="21"/>
              <w:spacing w:line="300" w:lineRule="exact"/>
              <w:rPr>
                <w:rFonts w:eastAsia="方正仿宋_GBK"/>
                <w:sz w:val="24"/>
              </w:rPr>
            </w:pPr>
            <w:r>
              <w:rPr>
                <w:sz w:val="24"/>
              </w:rPr>
              <w:t xml:space="preserve">95.21 </w:t>
            </w:r>
          </w:p>
        </w:tc>
        <w:tc>
          <w:tcPr>
            <w:tcW w:w="1378" w:type="dxa"/>
            <w:noWrap/>
            <w:vAlign w:val="center"/>
          </w:tcPr>
          <w:p>
            <w:pPr>
              <w:pStyle w:val="21"/>
              <w:spacing w:line="300" w:lineRule="exact"/>
              <w:rPr>
                <w:rFonts w:eastAsia="方正仿宋_GBK"/>
                <w:sz w:val="24"/>
              </w:rPr>
            </w:pPr>
            <w:r>
              <w:rPr>
                <w:sz w:val="24"/>
              </w:rPr>
              <w:t xml:space="preserve">11.25 </w:t>
            </w:r>
          </w:p>
        </w:tc>
        <w:tc>
          <w:tcPr>
            <w:tcW w:w="1205" w:type="dxa"/>
            <w:noWrap/>
            <w:vAlign w:val="center"/>
          </w:tcPr>
          <w:p>
            <w:pPr>
              <w:pStyle w:val="21"/>
              <w:spacing w:line="300" w:lineRule="exact"/>
              <w:rPr>
                <w:rFonts w:eastAsia="方正仿宋_GBK"/>
                <w:sz w:val="24"/>
              </w:rPr>
            </w:pPr>
            <w:r>
              <w:rPr>
                <w:sz w:val="24"/>
              </w:rPr>
              <w:t xml:space="preserve">19.67 </w:t>
            </w:r>
          </w:p>
        </w:tc>
        <w:tc>
          <w:tcPr>
            <w:tcW w:w="1346" w:type="dxa"/>
            <w:noWrap/>
            <w:vAlign w:val="center"/>
          </w:tcPr>
          <w:p>
            <w:pPr>
              <w:pStyle w:val="21"/>
              <w:spacing w:line="300" w:lineRule="exact"/>
              <w:rPr>
                <w:rFonts w:eastAsia="方正仿宋_GBK"/>
                <w:sz w:val="24"/>
              </w:rPr>
            </w:pPr>
            <w:r>
              <w:rPr>
                <w:sz w:val="24"/>
              </w:rPr>
              <w:t xml:space="preserve">5.16 </w:t>
            </w:r>
          </w:p>
        </w:tc>
        <w:tc>
          <w:tcPr>
            <w:tcW w:w="1238" w:type="dxa"/>
            <w:noWrap/>
            <w:vAlign w:val="center"/>
          </w:tcPr>
          <w:p>
            <w:pPr>
              <w:pStyle w:val="21"/>
              <w:spacing w:line="300" w:lineRule="exact"/>
              <w:rPr>
                <w:rFonts w:eastAsia="方正仿宋_GBK"/>
                <w:sz w:val="24"/>
              </w:rPr>
            </w:pPr>
            <w:r>
              <w:rPr>
                <w:sz w:val="24"/>
              </w:rPr>
              <w:t xml:space="preserve">126.40 </w:t>
            </w:r>
          </w:p>
        </w:tc>
        <w:tc>
          <w:tcPr>
            <w:tcW w:w="1323" w:type="dxa"/>
            <w:noWrap/>
            <w:vAlign w:val="center"/>
          </w:tcPr>
          <w:p>
            <w:pPr>
              <w:pStyle w:val="21"/>
              <w:spacing w:line="300" w:lineRule="exact"/>
              <w:rPr>
                <w:rFonts w:eastAsia="方正仿宋_GBK"/>
                <w:sz w:val="24"/>
              </w:rPr>
            </w:pPr>
            <w:r>
              <w:rPr>
                <w:sz w:val="24"/>
              </w:rPr>
              <w:t xml:space="preserve">6.34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柏林镇</w:t>
            </w:r>
          </w:p>
        </w:tc>
        <w:tc>
          <w:tcPr>
            <w:tcW w:w="1467" w:type="dxa"/>
            <w:noWrap/>
            <w:vAlign w:val="center"/>
          </w:tcPr>
          <w:p>
            <w:pPr>
              <w:pStyle w:val="21"/>
              <w:spacing w:line="300" w:lineRule="exact"/>
              <w:rPr>
                <w:rFonts w:eastAsia="方正仿宋_GBK"/>
                <w:sz w:val="24"/>
              </w:rPr>
            </w:pPr>
            <w:r>
              <w:rPr>
                <w:sz w:val="24"/>
              </w:rPr>
              <w:t xml:space="preserve">3.96 </w:t>
            </w:r>
          </w:p>
        </w:tc>
        <w:tc>
          <w:tcPr>
            <w:tcW w:w="1378" w:type="dxa"/>
            <w:noWrap/>
            <w:vAlign w:val="center"/>
          </w:tcPr>
          <w:p>
            <w:pPr>
              <w:pStyle w:val="21"/>
              <w:spacing w:line="300" w:lineRule="exact"/>
              <w:rPr>
                <w:rFonts w:eastAsia="方正仿宋_GBK"/>
                <w:sz w:val="24"/>
              </w:rPr>
            </w:pPr>
            <w:r>
              <w:rPr>
                <w:sz w:val="24"/>
              </w:rPr>
              <w:t xml:space="preserve">0.47 </w:t>
            </w:r>
          </w:p>
        </w:tc>
        <w:tc>
          <w:tcPr>
            <w:tcW w:w="1205" w:type="dxa"/>
            <w:noWrap/>
            <w:vAlign w:val="center"/>
          </w:tcPr>
          <w:p>
            <w:pPr>
              <w:pStyle w:val="21"/>
              <w:spacing w:line="300" w:lineRule="exact"/>
              <w:rPr>
                <w:rFonts w:eastAsia="方正仿宋_GBK"/>
                <w:sz w:val="24"/>
              </w:rPr>
            </w:pPr>
            <w:r>
              <w:rPr>
                <w:sz w:val="24"/>
              </w:rPr>
              <w:t xml:space="preserve">12.52 </w:t>
            </w:r>
          </w:p>
        </w:tc>
        <w:tc>
          <w:tcPr>
            <w:tcW w:w="1346" w:type="dxa"/>
            <w:noWrap/>
            <w:vAlign w:val="center"/>
          </w:tcPr>
          <w:p>
            <w:pPr>
              <w:pStyle w:val="21"/>
              <w:spacing w:line="300" w:lineRule="exact"/>
              <w:rPr>
                <w:rFonts w:eastAsia="方正仿宋_GBK"/>
                <w:sz w:val="24"/>
              </w:rPr>
            </w:pPr>
            <w:r>
              <w:rPr>
                <w:sz w:val="24"/>
              </w:rPr>
              <w:t xml:space="preserve">3.29 </w:t>
            </w:r>
          </w:p>
        </w:tc>
        <w:tc>
          <w:tcPr>
            <w:tcW w:w="1238" w:type="dxa"/>
            <w:noWrap/>
            <w:vAlign w:val="center"/>
          </w:tcPr>
          <w:p>
            <w:pPr>
              <w:pStyle w:val="21"/>
              <w:spacing w:line="300" w:lineRule="exact"/>
              <w:rPr>
                <w:rFonts w:eastAsia="方正仿宋_GBK"/>
                <w:sz w:val="24"/>
              </w:rPr>
            </w:pPr>
            <w:r>
              <w:rPr>
                <w:sz w:val="24"/>
              </w:rPr>
              <w:t xml:space="preserve">90.18 </w:t>
            </w:r>
          </w:p>
        </w:tc>
        <w:tc>
          <w:tcPr>
            <w:tcW w:w="1323" w:type="dxa"/>
            <w:noWrap/>
            <w:vAlign w:val="center"/>
          </w:tcPr>
          <w:p>
            <w:pPr>
              <w:pStyle w:val="21"/>
              <w:spacing w:line="300" w:lineRule="exact"/>
              <w:rPr>
                <w:rFonts w:eastAsia="方正仿宋_GBK"/>
                <w:sz w:val="24"/>
              </w:rPr>
            </w:pPr>
            <w:r>
              <w:rPr>
                <w:sz w:val="24"/>
              </w:rPr>
              <w:t xml:space="preserve">4.53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蔡家镇</w:t>
            </w:r>
          </w:p>
        </w:tc>
        <w:tc>
          <w:tcPr>
            <w:tcW w:w="1467" w:type="dxa"/>
            <w:noWrap/>
            <w:vAlign w:val="center"/>
          </w:tcPr>
          <w:p>
            <w:pPr>
              <w:pStyle w:val="21"/>
              <w:spacing w:line="300" w:lineRule="exact"/>
              <w:rPr>
                <w:rFonts w:eastAsia="方正仿宋_GBK"/>
                <w:sz w:val="24"/>
              </w:rPr>
            </w:pPr>
            <w:r>
              <w:rPr>
                <w:sz w:val="24"/>
              </w:rPr>
              <w:t xml:space="preserve">15.00 </w:t>
            </w:r>
          </w:p>
        </w:tc>
        <w:tc>
          <w:tcPr>
            <w:tcW w:w="1378" w:type="dxa"/>
            <w:noWrap/>
            <w:vAlign w:val="center"/>
          </w:tcPr>
          <w:p>
            <w:pPr>
              <w:pStyle w:val="21"/>
              <w:spacing w:line="300" w:lineRule="exact"/>
              <w:rPr>
                <w:rFonts w:eastAsia="方正仿宋_GBK"/>
                <w:sz w:val="24"/>
              </w:rPr>
            </w:pPr>
            <w:r>
              <w:rPr>
                <w:sz w:val="24"/>
              </w:rPr>
              <w:t xml:space="preserve">1.77 </w:t>
            </w:r>
          </w:p>
        </w:tc>
        <w:tc>
          <w:tcPr>
            <w:tcW w:w="1205" w:type="dxa"/>
            <w:noWrap/>
            <w:vAlign w:val="center"/>
          </w:tcPr>
          <w:p>
            <w:pPr>
              <w:pStyle w:val="21"/>
              <w:spacing w:line="300" w:lineRule="exact"/>
              <w:rPr>
                <w:rFonts w:eastAsia="方正仿宋_GBK"/>
                <w:sz w:val="24"/>
              </w:rPr>
            </w:pPr>
            <w:r>
              <w:rPr>
                <w:sz w:val="24"/>
              </w:rPr>
              <w:t xml:space="preserve">18.82 </w:t>
            </w:r>
          </w:p>
        </w:tc>
        <w:tc>
          <w:tcPr>
            <w:tcW w:w="1346" w:type="dxa"/>
            <w:noWrap/>
            <w:vAlign w:val="center"/>
          </w:tcPr>
          <w:p>
            <w:pPr>
              <w:pStyle w:val="21"/>
              <w:spacing w:line="300" w:lineRule="exact"/>
              <w:rPr>
                <w:rFonts w:eastAsia="方正仿宋_GBK"/>
                <w:sz w:val="24"/>
              </w:rPr>
            </w:pPr>
            <w:r>
              <w:rPr>
                <w:sz w:val="24"/>
              </w:rPr>
              <w:t xml:space="preserve">4.94 </w:t>
            </w:r>
          </w:p>
        </w:tc>
        <w:tc>
          <w:tcPr>
            <w:tcW w:w="1238" w:type="dxa"/>
            <w:noWrap/>
            <w:vAlign w:val="center"/>
          </w:tcPr>
          <w:p>
            <w:pPr>
              <w:pStyle w:val="21"/>
              <w:spacing w:line="300" w:lineRule="exact"/>
              <w:rPr>
                <w:rFonts w:eastAsia="方正仿宋_GBK"/>
                <w:sz w:val="24"/>
              </w:rPr>
            </w:pPr>
            <w:r>
              <w:rPr>
                <w:sz w:val="24"/>
              </w:rPr>
              <w:t xml:space="preserve">176.36 </w:t>
            </w:r>
          </w:p>
        </w:tc>
        <w:tc>
          <w:tcPr>
            <w:tcW w:w="1323" w:type="dxa"/>
            <w:noWrap/>
            <w:vAlign w:val="center"/>
          </w:tcPr>
          <w:p>
            <w:pPr>
              <w:pStyle w:val="21"/>
              <w:spacing w:line="300" w:lineRule="exact"/>
              <w:rPr>
                <w:rFonts w:eastAsia="方正仿宋_GBK"/>
                <w:sz w:val="24"/>
              </w:rPr>
            </w:pPr>
            <w:r>
              <w:rPr>
                <w:sz w:val="24"/>
              </w:rPr>
              <w:t xml:space="preserve">8.85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慈云镇</w:t>
            </w:r>
          </w:p>
        </w:tc>
        <w:tc>
          <w:tcPr>
            <w:tcW w:w="1467" w:type="dxa"/>
            <w:noWrap/>
            <w:vAlign w:val="center"/>
          </w:tcPr>
          <w:p>
            <w:pPr>
              <w:pStyle w:val="21"/>
              <w:spacing w:line="300" w:lineRule="exact"/>
              <w:rPr>
                <w:rFonts w:eastAsia="方正仿宋_GBK"/>
                <w:sz w:val="24"/>
              </w:rPr>
            </w:pPr>
            <w:r>
              <w:rPr>
                <w:sz w:val="24"/>
              </w:rPr>
              <w:t xml:space="preserve">0.39 </w:t>
            </w:r>
          </w:p>
        </w:tc>
        <w:tc>
          <w:tcPr>
            <w:tcW w:w="1378" w:type="dxa"/>
            <w:noWrap/>
            <w:vAlign w:val="center"/>
          </w:tcPr>
          <w:p>
            <w:pPr>
              <w:pStyle w:val="21"/>
              <w:spacing w:line="300" w:lineRule="exact"/>
              <w:rPr>
                <w:rFonts w:eastAsia="方正仿宋_GBK"/>
                <w:sz w:val="24"/>
              </w:rPr>
            </w:pPr>
            <w:r>
              <w:rPr>
                <w:sz w:val="24"/>
              </w:rPr>
              <w:t xml:space="preserve">0.05 </w:t>
            </w:r>
          </w:p>
        </w:tc>
        <w:tc>
          <w:tcPr>
            <w:tcW w:w="1205" w:type="dxa"/>
            <w:noWrap/>
            <w:vAlign w:val="center"/>
          </w:tcPr>
          <w:p>
            <w:pPr>
              <w:pStyle w:val="21"/>
              <w:spacing w:line="300" w:lineRule="exact"/>
              <w:rPr>
                <w:rFonts w:eastAsia="方正仿宋_GBK"/>
                <w:sz w:val="24"/>
              </w:rPr>
            </w:pPr>
            <w:r>
              <w:rPr>
                <w:sz w:val="24"/>
              </w:rPr>
              <w:t xml:space="preserve">6.24 </w:t>
            </w:r>
          </w:p>
        </w:tc>
        <w:tc>
          <w:tcPr>
            <w:tcW w:w="1346" w:type="dxa"/>
            <w:noWrap/>
            <w:vAlign w:val="center"/>
          </w:tcPr>
          <w:p>
            <w:pPr>
              <w:pStyle w:val="21"/>
              <w:spacing w:line="300" w:lineRule="exact"/>
              <w:rPr>
                <w:rFonts w:eastAsia="方正仿宋_GBK"/>
                <w:sz w:val="24"/>
              </w:rPr>
            </w:pPr>
            <w:r>
              <w:rPr>
                <w:sz w:val="24"/>
              </w:rPr>
              <w:t xml:space="preserve">1.64 </w:t>
            </w:r>
          </w:p>
        </w:tc>
        <w:tc>
          <w:tcPr>
            <w:tcW w:w="1238" w:type="dxa"/>
            <w:noWrap/>
            <w:vAlign w:val="center"/>
          </w:tcPr>
          <w:p>
            <w:pPr>
              <w:pStyle w:val="21"/>
              <w:spacing w:line="300" w:lineRule="exact"/>
              <w:rPr>
                <w:rFonts w:eastAsia="方正仿宋_GBK"/>
                <w:sz w:val="24"/>
              </w:rPr>
            </w:pPr>
            <w:r>
              <w:rPr>
                <w:sz w:val="24"/>
              </w:rPr>
              <w:t xml:space="preserve">45.04 </w:t>
            </w:r>
          </w:p>
        </w:tc>
        <w:tc>
          <w:tcPr>
            <w:tcW w:w="1323" w:type="dxa"/>
            <w:noWrap/>
            <w:vAlign w:val="center"/>
          </w:tcPr>
          <w:p>
            <w:pPr>
              <w:pStyle w:val="21"/>
              <w:spacing w:line="300" w:lineRule="exact"/>
              <w:rPr>
                <w:rFonts w:eastAsia="方正仿宋_GBK"/>
                <w:sz w:val="24"/>
              </w:rPr>
            </w:pPr>
            <w:r>
              <w:rPr>
                <w:sz w:val="24"/>
              </w:rPr>
              <w:t xml:space="preserve">2.26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德感街道</w:t>
            </w:r>
          </w:p>
        </w:tc>
        <w:tc>
          <w:tcPr>
            <w:tcW w:w="1467" w:type="dxa"/>
            <w:noWrap/>
            <w:vAlign w:val="center"/>
          </w:tcPr>
          <w:p>
            <w:pPr>
              <w:pStyle w:val="21"/>
              <w:spacing w:line="300" w:lineRule="exact"/>
              <w:rPr>
                <w:rFonts w:eastAsia="方正仿宋_GBK"/>
                <w:sz w:val="24"/>
              </w:rPr>
            </w:pPr>
            <w:r>
              <w:rPr>
                <w:sz w:val="24"/>
              </w:rPr>
              <w:t xml:space="preserve">49.05 </w:t>
            </w:r>
          </w:p>
        </w:tc>
        <w:tc>
          <w:tcPr>
            <w:tcW w:w="1378" w:type="dxa"/>
            <w:noWrap/>
            <w:vAlign w:val="center"/>
          </w:tcPr>
          <w:p>
            <w:pPr>
              <w:pStyle w:val="21"/>
              <w:spacing w:line="300" w:lineRule="exact"/>
              <w:rPr>
                <w:rFonts w:eastAsia="方正仿宋_GBK"/>
                <w:sz w:val="24"/>
              </w:rPr>
            </w:pPr>
            <w:r>
              <w:rPr>
                <w:sz w:val="24"/>
              </w:rPr>
              <w:t xml:space="preserve">5.80 </w:t>
            </w:r>
          </w:p>
        </w:tc>
        <w:tc>
          <w:tcPr>
            <w:tcW w:w="1205" w:type="dxa"/>
            <w:noWrap/>
            <w:vAlign w:val="center"/>
          </w:tcPr>
          <w:p>
            <w:pPr>
              <w:pStyle w:val="21"/>
              <w:spacing w:line="300" w:lineRule="exact"/>
              <w:rPr>
                <w:rFonts w:eastAsia="方正仿宋_GBK"/>
                <w:sz w:val="24"/>
              </w:rPr>
            </w:pPr>
            <w:r>
              <w:rPr>
                <w:sz w:val="24"/>
              </w:rPr>
              <w:t xml:space="preserve">45.93 </w:t>
            </w:r>
          </w:p>
        </w:tc>
        <w:tc>
          <w:tcPr>
            <w:tcW w:w="1346" w:type="dxa"/>
            <w:noWrap/>
            <w:vAlign w:val="center"/>
          </w:tcPr>
          <w:p>
            <w:pPr>
              <w:pStyle w:val="21"/>
              <w:spacing w:line="300" w:lineRule="exact"/>
              <w:rPr>
                <w:rFonts w:eastAsia="方正仿宋_GBK"/>
                <w:sz w:val="24"/>
              </w:rPr>
            </w:pPr>
            <w:r>
              <w:rPr>
                <w:sz w:val="24"/>
              </w:rPr>
              <w:t xml:space="preserve">12.06 </w:t>
            </w:r>
          </w:p>
        </w:tc>
        <w:tc>
          <w:tcPr>
            <w:tcW w:w="1238" w:type="dxa"/>
            <w:noWrap/>
            <w:vAlign w:val="center"/>
          </w:tcPr>
          <w:p>
            <w:pPr>
              <w:pStyle w:val="21"/>
              <w:spacing w:line="300" w:lineRule="exact"/>
              <w:rPr>
                <w:rFonts w:eastAsia="方正仿宋_GBK"/>
                <w:sz w:val="24"/>
              </w:rPr>
            </w:pPr>
            <w:r>
              <w:rPr>
                <w:sz w:val="24"/>
              </w:rPr>
              <w:t xml:space="preserve">1.11 </w:t>
            </w:r>
          </w:p>
        </w:tc>
        <w:tc>
          <w:tcPr>
            <w:tcW w:w="1323" w:type="dxa"/>
            <w:noWrap/>
            <w:vAlign w:val="center"/>
          </w:tcPr>
          <w:p>
            <w:pPr>
              <w:pStyle w:val="21"/>
              <w:spacing w:line="300" w:lineRule="exact"/>
              <w:rPr>
                <w:rFonts w:eastAsia="方正仿宋_GBK"/>
                <w:sz w:val="24"/>
              </w:rPr>
            </w:pPr>
            <w:r>
              <w:rPr>
                <w:sz w:val="24"/>
              </w:rPr>
              <w:t xml:space="preserve">0.06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鼎山街道</w:t>
            </w:r>
          </w:p>
        </w:tc>
        <w:tc>
          <w:tcPr>
            <w:tcW w:w="1467" w:type="dxa"/>
            <w:noWrap/>
            <w:vAlign w:val="center"/>
          </w:tcPr>
          <w:p>
            <w:pPr>
              <w:pStyle w:val="21"/>
              <w:spacing w:line="300" w:lineRule="exact"/>
              <w:rPr>
                <w:rFonts w:eastAsia="方正仿宋_GBK"/>
                <w:sz w:val="24"/>
              </w:rPr>
            </w:pPr>
            <w:r>
              <w:rPr>
                <w:sz w:val="24"/>
              </w:rPr>
              <w:t xml:space="preserve">11.69 </w:t>
            </w:r>
          </w:p>
        </w:tc>
        <w:tc>
          <w:tcPr>
            <w:tcW w:w="1378" w:type="dxa"/>
            <w:noWrap/>
            <w:vAlign w:val="center"/>
          </w:tcPr>
          <w:p>
            <w:pPr>
              <w:pStyle w:val="21"/>
              <w:spacing w:line="300" w:lineRule="exact"/>
              <w:rPr>
                <w:rFonts w:eastAsia="方正仿宋_GBK"/>
                <w:sz w:val="24"/>
              </w:rPr>
            </w:pPr>
            <w:r>
              <w:rPr>
                <w:sz w:val="24"/>
              </w:rPr>
              <w:t xml:space="preserve">1.38 </w:t>
            </w:r>
          </w:p>
        </w:tc>
        <w:tc>
          <w:tcPr>
            <w:tcW w:w="1205" w:type="dxa"/>
            <w:noWrap/>
            <w:vAlign w:val="center"/>
          </w:tcPr>
          <w:p>
            <w:pPr>
              <w:pStyle w:val="21"/>
              <w:spacing w:line="300" w:lineRule="exact"/>
              <w:rPr>
                <w:rFonts w:eastAsia="方正仿宋_GBK"/>
                <w:sz w:val="24"/>
              </w:rPr>
            </w:pPr>
            <w:r>
              <w:rPr>
                <w:sz w:val="24"/>
              </w:rPr>
              <w:t xml:space="preserve">23.57 </w:t>
            </w:r>
          </w:p>
        </w:tc>
        <w:tc>
          <w:tcPr>
            <w:tcW w:w="1346" w:type="dxa"/>
            <w:noWrap/>
            <w:vAlign w:val="center"/>
          </w:tcPr>
          <w:p>
            <w:pPr>
              <w:pStyle w:val="21"/>
              <w:spacing w:line="300" w:lineRule="exact"/>
              <w:rPr>
                <w:rFonts w:eastAsia="方正仿宋_GBK"/>
                <w:sz w:val="24"/>
              </w:rPr>
            </w:pPr>
            <w:r>
              <w:rPr>
                <w:sz w:val="24"/>
              </w:rPr>
              <w:t xml:space="preserve">6.19 </w:t>
            </w:r>
          </w:p>
        </w:tc>
        <w:tc>
          <w:tcPr>
            <w:tcW w:w="1238" w:type="dxa"/>
            <w:noWrap/>
            <w:vAlign w:val="center"/>
          </w:tcPr>
          <w:p>
            <w:pPr>
              <w:pStyle w:val="21"/>
              <w:spacing w:line="300" w:lineRule="exact"/>
              <w:rPr>
                <w:rFonts w:eastAsia="方正仿宋_GBK"/>
                <w:sz w:val="24"/>
              </w:rPr>
            </w:pPr>
            <w:r>
              <w:rPr>
                <w:sz w:val="24"/>
              </w:rPr>
              <w:t xml:space="preserve">0.33 </w:t>
            </w:r>
          </w:p>
        </w:tc>
        <w:tc>
          <w:tcPr>
            <w:tcW w:w="1323" w:type="dxa"/>
            <w:noWrap/>
            <w:vAlign w:val="center"/>
          </w:tcPr>
          <w:p>
            <w:pPr>
              <w:pStyle w:val="21"/>
              <w:spacing w:line="300" w:lineRule="exact"/>
              <w:rPr>
                <w:rFonts w:eastAsia="方正仿宋_GBK"/>
                <w:sz w:val="24"/>
              </w:rPr>
            </w:pPr>
            <w:r>
              <w:rPr>
                <w:sz w:val="24"/>
              </w:rPr>
              <w:t xml:space="preserve">0.02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杜市镇</w:t>
            </w:r>
          </w:p>
        </w:tc>
        <w:tc>
          <w:tcPr>
            <w:tcW w:w="1467" w:type="dxa"/>
            <w:noWrap/>
            <w:vAlign w:val="center"/>
          </w:tcPr>
          <w:p>
            <w:pPr>
              <w:pStyle w:val="21"/>
              <w:spacing w:line="300" w:lineRule="exact"/>
              <w:rPr>
                <w:rFonts w:eastAsia="方正仿宋_GBK"/>
                <w:sz w:val="24"/>
              </w:rPr>
            </w:pPr>
            <w:r>
              <w:rPr>
                <w:sz w:val="24"/>
              </w:rPr>
              <w:t xml:space="preserve">1.96 </w:t>
            </w:r>
          </w:p>
        </w:tc>
        <w:tc>
          <w:tcPr>
            <w:tcW w:w="1378" w:type="dxa"/>
            <w:noWrap/>
            <w:vAlign w:val="center"/>
          </w:tcPr>
          <w:p>
            <w:pPr>
              <w:pStyle w:val="21"/>
              <w:spacing w:line="300" w:lineRule="exact"/>
              <w:rPr>
                <w:rFonts w:eastAsia="方正仿宋_GBK"/>
                <w:sz w:val="24"/>
              </w:rPr>
            </w:pPr>
            <w:r>
              <w:rPr>
                <w:sz w:val="24"/>
              </w:rPr>
              <w:t xml:space="preserve">0.23 </w:t>
            </w:r>
          </w:p>
        </w:tc>
        <w:tc>
          <w:tcPr>
            <w:tcW w:w="1205" w:type="dxa"/>
            <w:noWrap/>
            <w:vAlign w:val="center"/>
          </w:tcPr>
          <w:p>
            <w:pPr>
              <w:pStyle w:val="21"/>
              <w:spacing w:line="300" w:lineRule="exact"/>
              <w:rPr>
                <w:rFonts w:eastAsia="方正仿宋_GBK"/>
                <w:sz w:val="24"/>
              </w:rPr>
            </w:pPr>
            <w:r>
              <w:rPr>
                <w:sz w:val="24"/>
              </w:rPr>
              <w:t xml:space="preserve">9.98 </w:t>
            </w:r>
          </w:p>
        </w:tc>
        <w:tc>
          <w:tcPr>
            <w:tcW w:w="1346" w:type="dxa"/>
            <w:noWrap/>
            <w:vAlign w:val="center"/>
          </w:tcPr>
          <w:p>
            <w:pPr>
              <w:pStyle w:val="21"/>
              <w:spacing w:line="300" w:lineRule="exact"/>
              <w:rPr>
                <w:rFonts w:eastAsia="方正仿宋_GBK"/>
                <w:sz w:val="24"/>
              </w:rPr>
            </w:pPr>
            <w:r>
              <w:rPr>
                <w:sz w:val="24"/>
              </w:rPr>
              <w:t xml:space="preserve">2.62 </w:t>
            </w:r>
          </w:p>
        </w:tc>
        <w:tc>
          <w:tcPr>
            <w:tcW w:w="1238" w:type="dxa"/>
            <w:noWrap/>
            <w:vAlign w:val="center"/>
          </w:tcPr>
          <w:p>
            <w:pPr>
              <w:pStyle w:val="21"/>
              <w:spacing w:line="300" w:lineRule="exact"/>
              <w:rPr>
                <w:rFonts w:eastAsia="方正仿宋_GBK"/>
                <w:sz w:val="24"/>
              </w:rPr>
            </w:pPr>
            <w:r>
              <w:rPr>
                <w:sz w:val="24"/>
              </w:rPr>
              <w:t xml:space="preserve">77.56 </w:t>
            </w:r>
          </w:p>
        </w:tc>
        <w:tc>
          <w:tcPr>
            <w:tcW w:w="1323" w:type="dxa"/>
            <w:noWrap/>
            <w:vAlign w:val="center"/>
          </w:tcPr>
          <w:p>
            <w:pPr>
              <w:pStyle w:val="21"/>
              <w:spacing w:line="300" w:lineRule="exact"/>
              <w:rPr>
                <w:rFonts w:eastAsia="方正仿宋_GBK"/>
                <w:sz w:val="24"/>
              </w:rPr>
            </w:pPr>
            <w:r>
              <w:rPr>
                <w:sz w:val="24"/>
              </w:rPr>
              <w:t xml:space="preserve">3.89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广兴镇</w:t>
            </w:r>
          </w:p>
        </w:tc>
        <w:tc>
          <w:tcPr>
            <w:tcW w:w="1467" w:type="dxa"/>
            <w:noWrap/>
            <w:vAlign w:val="center"/>
          </w:tcPr>
          <w:p>
            <w:pPr>
              <w:pStyle w:val="21"/>
              <w:spacing w:line="300" w:lineRule="exact"/>
              <w:rPr>
                <w:rFonts w:eastAsia="方正仿宋_GBK"/>
                <w:sz w:val="24"/>
              </w:rPr>
            </w:pPr>
            <w:r>
              <w:rPr>
                <w:sz w:val="24"/>
              </w:rPr>
              <w:t xml:space="preserve">5.68 </w:t>
            </w:r>
          </w:p>
        </w:tc>
        <w:tc>
          <w:tcPr>
            <w:tcW w:w="1378" w:type="dxa"/>
            <w:noWrap/>
            <w:vAlign w:val="center"/>
          </w:tcPr>
          <w:p>
            <w:pPr>
              <w:pStyle w:val="21"/>
              <w:spacing w:line="300" w:lineRule="exact"/>
              <w:rPr>
                <w:rFonts w:eastAsia="方正仿宋_GBK"/>
                <w:sz w:val="24"/>
              </w:rPr>
            </w:pPr>
            <w:r>
              <w:rPr>
                <w:sz w:val="24"/>
              </w:rPr>
              <w:t xml:space="preserve">0.67 </w:t>
            </w:r>
          </w:p>
        </w:tc>
        <w:tc>
          <w:tcPr>
            <w:tcW w:w="1205" w:type="dxa"/>
            <w:noWrap/>
            <w:vAlign w:val="center"/>
          </w:tcPr>
          <w:p>
            <w:pPr>
              <w:pStyle w:val="21"/>
              <w:spacing w:line="300" w:lineRule="exact"/>
              <w:rPr>
                <w:rFonts w:eastAsia="方正仿宋_GBK"/>
                <w:sz w:val="24"/>
              </w:rPr>
            </w:pPr>
            <w:r>
              <w:rPr>
                <w:sz w:val="24"/>
              </w:rPr>
              <w:t xml:space="preserve">1.38 </w:t>
            </w:r>
          </w:p>
        </w:tc>
        <w:tc>
          <w:tcPr>
            <w:tcW w:w="1346" w:type="dxa"/>
            <w:noWrap/>
            <w:vAlign w:val="center"/>
          </w:tcPr>
          <w:p>
            <w:pPr>
              <w:pStyle w:val="21"/>
              <w:spacing w:line="300" w:lineRule="exact"/>
              <w:rPr>
                <w:rFonts w:eastAsia="方正仿宋_GBK"/>
                <w:sz w:val="24"/>
              </w:rPr>
            </w:pPr>
            <w:r>
              <w:rPr>
                <w:sz w:val="24"/>
              </w:rPr>
              <w:t xml:space="preserve">0.36 </w:t>
            </w:r>
          </w:p>
        </w:tc>
        <w:tc>
          <w:tcPr>
            <w:tcW w:w="1238" w:type="dxa"/>
            <w:noWrap/>
            <w:vAlign w:val="center"/>
          </w:tcPr>
          <w:p>
            <w:pPr>
              <w:pStyle w:val="21"/>
              <w:spacing w:line="300" w:lineRule="exact"/>
              <w:rPr>
                <w:rFonts w:eastAsia="方正仿宋_GBK"/>
                <w:sz w:val="24"/>
              </w:rPr>
            </w:pPr>
            <w:r>
              <w:rPr>
                <w:sz w:val="24"/>
              </w:rPr>
              <w:t xml:space="preserve">30.44 </w:t>
            </w:r>
          </w:p>
        </w:tc>
        <w:tc>
          <w:tcPr>
            <w:tcW w:w="1323" w:type="dxa"/>
            <w:noWrap/>
            <w:vAlign w:val="center"/>
          </w:tcPr>
          <w:p>
            <w:pPr>
              <w:pStyle w:val="21"/>
              <w:spacing w:line="300" w:lineRule="exact"/>
              <w:rPr>
                <w:rFonts w:eastAsia="方正仿宋_GBK"/>
                <w:sz w:val="24"/>
              </w:rPr>
            </w:pPr>
            <w:r>
              <w:rPr>
                <w:sz w:val="24"/>
              </w:rPr>
              <w:t xml:space="preserve">1.53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几江街道</w:t>
            </w:r>
          </w:p>
        </w:tc>
        <w:tc>
          <w:tcPr>
            <w:tcW w:w="1467" w:type="dxa"/>
            <w:noWrap/>
            <w:vAlign w:val="center"/>
          </w:tcPr>
          <w:p>
            <w:pPr>
              <w:pStyle w:val="21"/>
              <w:spacing w:line="300" w:lineRule="exact"/>
              <w:rPr>
                <w:rFonts w:eastAsia="方正仿宋_GBK"/>
                <w:sz w:val="24"/>
              </w:rPr>
            </w:pPr>
            <w:r>
              <w:rPr>
                <w:sz w:val="24"/>
              </w:rPr>
              <w:t xml:space="preserve">8.30 </w:t>
            </w:r>
          </w:p>
        </w:tc>
        <w:tc>
          <w:tcPr>
            <w:tcW w:w="1378" w:type="dxa"/>
            <w:noWrap/>
            <w:vAlign w:val="center"/>
          </w:tcPr>
          <w:p>
            <w:pPr>
              <w:pStyle w:val="21"/>
              <w:spacing w:line="300" w:lineRule="exact"/>
              <w:rPr>
                <w:rFonts w:eastAsia="方正仿宋_GBK"/>
                <w:sz w:val="24"/>
              </w:rPr>
            </w:pPr>
            <w:r>
              <w:rPr>
                <w:sz w:val="24"/>
              </w:rPr>
              <w:t xml:space="preserve">0.98 </w:t>
            </w:r>
          </w:p>
        </w:tc>
        <w:tc>
          <w:tcPr>
            <w:tcW w:w="1205" w:type="dxa"/>
            <w:noWrap/>
            <w:vAlign w:val="center"/>
          </w:tcPr>
          <w:p>
            <w:pPr>
              <w:pStyle w:val="21"/>
              <w:spacing w:line="300" w:lineRule="exact"/>
              <w:rPr>
                <w:rFonts w:eastAsia="方正仿宋_GBK"/>
                <w:sz w:val="24"/>
              </w:rPr>
            </w:pPr>
            <w:r>
              <w:rPr>
                <w:sz w:val="24"/>
              </w:rPr>
              <w:t xml:space="preserve">15.90 </w:t>
            </w:r>
          </w:p>
        </w:tc>
        <w:tc>
          <w:tcPr>
            <w:tcW w:w="1346" w:type="dxa"/>
            <w:noWrap/>
            <w:vAlign w:val="center"/>
          </w:tcPr>
          <w:p>
            <w:pPr>
              <w:pStyle w:val="21"/>
              <w:spacing w:line="300" w:lineRule="exact"/>
              <w:rPr>
                <w:rFonts w:eastAsia="方正仿宋_GBK"/>
                <w:sz w:val="24"/>
              </w:rPr>
            </w:pPr>
            <w:r>
              <w:rPr>
                <w:sz w:val="24"/>
              </w:rPr>
              <w:t xml:space="preserve">4.17 </w:t>
            </w:r>
          </w:p>
        </w:tc>
        <w:tc>
          <w:tcPr>
            <w:tcW w:w="1238" w:type="dxa"/>
            <w:noWrap/>
            <w:vAlign w:val="center"/>
          </w:tcPr>
          <w:p>
            <w:pPr>
              <w:pStyle w:val="21"/>
              <w:spacing w:line="300" w:lineRule="exact"/>
              <w:rPr>
                <w:rFonts w:eastAsia="方正仿宋_GBK"/>
                <w:sz w:val="24"/>
              </w:rPr>
            </w:pPr>
            <w:r>
              <w:rPr>
                <w:sz w:val="24"/>
              </w:rPr>
              <w:t xml:space="preserve">1.01 </w:t>
            </w:r>
          </w:p>
        </w:tc>
        <w:tc>
          <w:tcPr>
            <w:tcW w:w="1323" w:type="dxa"/>
            <w:noWrap/>
            <w:vAlign w:val="center"/>
          </w:tcPr>
          <w:p>
            <w:pPr>
              <w:pStyle w:val="21"/>
              <w:spacing w:line="300" w:lineRule="exact"/>
              <w:rPr>
                <w:rFonts w:eastAsia="方正仿宋_GBK"/>
                <w:sz w:val="24"/>
              </w:rPr>
            </w:pPr>
            <w:r>
              <w:rPr>
                <w:sz w:val="24"/>
              </w:rPr>
              <w:t xml:space="preserve">0.05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嘉平镇</w:t>
            </w:r>
          </w:p>
        </w:tc>
        <w:tc>
          <w:tcPr>
            <w:tcW w:w="1467" w:type="dxa"/>
            <w:noWrap/>
            <w:vAlign w:val="center"/>
          </w:tcPr>
          <w:p>
            <w:pPr>
              <w:pStyle w:val="21"/>
              <w:spacing w:line="300" w:lineRule="exact"/>
              <w:rPr>
                <w:rFonts w:eastAsia="方正仿宋_GBK"/>
                <w:sz w:val="24"/>
              </w:rPr>
            </w:pPr>
            <w:r>
              <w:rPr>
                <w:sz w:val="24"/>
              </w:rPr>
              <w:t xml:space="preserve">8.82 </w:t>
            </w:r>
          </w:p>
        </w:tc>
        <w:tc>
          <w:tcPr>
            <w:tcW w:w="1378" w:type="dxa"/>
            <w:noWrap/>
            <w:vAlign w:val="center"/>
          </w:tcPr>
          <w:p>
            <w:pPr>
              <w:pStyle w:val="21"/>
              <w:spacing w:line="300" w:lineRule="exact"/>
              <w:rPr>
                <w:rFonts w:eastAsia="方正仿宋_GBK"/>
                <w:sz w:val="24"/>
              </w:rPr>
            </w:pPr>
            <w:r>
              <w:rPr>
                <w:sz w:val="24"/>
              </w:rPr>
              <w:t xml:space="preserve">1.04 </w:t>
            </w:r>
          </w:p>
        </w:tc>
        <w:tc>
          <w:tcPr>
            <w:tcW w:w="1205" w:type="dxa"/>
            <w:noWrap/>
            <w:vAlign w:val="center"/>
          </w:tcPr>
          <w:p>
            <w:pPr>
              <w:pStyle w:val="21"/>
              <w:spacing w:line="300" w:lineRule="exact"/>
              <w:rPr>
                <w:rFonts w:eastAsia="方正仿宋_GBK"/>
                <w:sz w:val="24"/>
              </w:rPr>
            </w:pPr>
            <w:r>
              <w:rPr>
                <w:sz w:val="24"/>
              </w:rPr>
              <w:t xml:space="preserve">0.08 </w:t>
            </w:r>
          </w:p>
        </w:tc>
        <w:tc>
          <w:tcPr>
            <w:tcW w:w="1346" w:type="dxa"/>
            <w:noWrap/>
            <w:vAlign w:val="center"/>
          </w:tcPr>
          <w:p>
            <w:pPr>
              <w:pStyle w:val="21"/>
              <w:spacing w:line="300" w:lineRule="exact"/>
              <w:rPr>
                <w:rFonts w:eastAsia="方正仿宋_GBK"/>
                <w:sz w:val="24"/>
              </w:rPr>
            </w:pPr>
            <w:r>
              <w:rPr>
                <w:sz w:val="24"/>
              </w:rPr>
              <w:t xml:space="preserve">0.02 </w:t>
            </w:r>
          </w:p>
        </w:tc>
        <w:tc>
          <w:tcPr>
            <w:tcW w:w="1238" w:type="dxa"/>
            <w:noWrap/>
            <w:vAlign w:val="center"/>
          </w:tcPr>
          <w:p>
            <w:pPr>
              <w:pStyle w:val="21"/>
              <w:spacing w:line="300" w:lineRule="exact"/>
              <w:rPr>
                <w:rFonts w:eastAsia="方正仿宋_GBK"/>
                <w:sz w:val="24"/>
              </w:rPr>
            </w:pPr>
            <w:r>
              <w:rPr>
                <w:sz w:val="24"/>
              </w:rPr>
              <w:t xml:space="preserve">80.09 </w:t>
            </w:r>
          </w:p>
        </w:tc>
        <w:tc>
          <w:tcPr>
            <w:tcW w:w="1323" w:type="dxa"/>
            <w:noWrap/>
            <w:vAlign w:val="center"/>
          </w:tcPr>
          <w:p>
            <w:pPr>
              <w:pStyle w:val="21"/>
              <w:spacing w:line="300" w:lineRule="exact"/>
              <w:rPr>
                <w:rFonts w:eastAsia="方正仿宋_GBK"/>
                <w:sz w:val="24"/>
              </w:rPr>
            </w:pPr>
            <w:r>
              <w:rPr>
                <w:sz w:val="24"/>
              </w:rPr>
              <w:t xml:space="preserve">4.02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贾嗣镇</w:t>
            </w:r>
          </w:p>
        </w:tc>
        <w:tc>
          <w:tcPr>
            <w:tcW w:w="1467" w:type="dxa"/>
            <w:noWrap/>
            <w:vAlign w:val="center"/>
          </w:tcPr>
          <w:p>
            <w:pPr>
              <w:pStyle w:val="21"/>
              <w:spacing w:line="300" w:lineRule="exact"/>
              <w:rPr>
                <w:rFonts w:eastAsia="方正仿宋_GBK"/>
                <w:sz w:val="24"/>
              </w:rPr>
            </w:pPr>
            <w:r>
              <w:rPr>
                <w:sz w:val="24"/>
              </w:rPr>
              <w:t xml:space="preserve">15.60 </w:t>
            </w:r>
          </w:p>
        </w:tc>
        <w:tc>
          <w:tcPr>
            <w:tcW w:w="1378" w:type="dxa"/>
            <w:noWrap/>
            <w:vAlign w:val="center"/>
          </w:tcPr>
          <w:p>
            <w:pPr>
              <w:pStyle w:val="21"/>
              <w:spacing w:line="300" w:lineRule="exact"/>
              <w:rPr>
                <w:rFonts w:eastAsia="方正仿宋_GBK"/>
                <w:sz w:val="24"/>
              </w:rPr>
            </w:pPr>
            <w:r>
              <w:rPr>
                <w:sz w:val="24"/>
              </w:rPr>
              <w:t xml:space="preserve">1.84 </w:t>
            </w:r>
          </w:p>
        </w:tc>
        <w:tc>
          <w:tcPr>
            <w:tcW w:w="1205" w:type="dxa"/>
            <w:noWrap/>
            <w:vAlign w:val="center"/>
          </w:tcPr>
          <w:p>
            <w:pPr>
              <w:pStyle w:val="21"/>
              <w:spacing w:line="300" w:lineRule="exact"/>
              <w:rPr>
                <w:rFonts w:eastAsia="方正仿宋_GBK"/>
                <w:sz w:val="24"/>
              </w:rPr>
            </w:pPr>
            <w:r>
              <w:rPr>
                <w:sz w:val="24"/>
              </w:rPr>
              <w:t xml:space="preserve">4.87 </w:t>
            </w:r>
          </w:p>
        </w:tc>
        <w:tc>
          <w:tcPr>
            <w:tcW w:w="1346" w:type="dxa"/>
            <w:noWrap/>
            <w:vAlign w:val="center"/>
          </w:tcPr>
          <w:p>
            <w:pPr>
              <w:pStyle w:val="21"/>
              <w:spacing w:line="300" w:lineRule="exact"/>
              <w:rPr>
                <w:rFonts w:eastAsia="方正仿宋_GBK"/>
                <w:sz w:val="24"/>
              </w:rPr>
            </w:pPr>
            <w:r>
              <w:rPr>
                <w:sz w:val="24"/>
              </w:rPr>
              <w:t xml:space="preserve">1.28 </w:t>
            </w:r>
          </w:p>
        </w:tc>
        <w:tc>
          <w:tcPr>
            <w:tcW w:w="1238" w:type="dxa"/>
            <w:noWrap/>
            <w:vAlign w:val="center"/>
          </w:tcPr>
          <w:p>
            <w:pPr>
              <w:pStyle w:val="21"/>
              <w:spacing w:line="300" w:lineRule="exact"/>
              <w:rPr>
                <w:rFonts w:eastAsia="方正仿宋_GBK"/>
                <w:sz w:val="24"/>
              </w:rPr>
            </w:pPr>
            <w:r>
              <w:rPr>
                <w:sz w:val="24"/>
              </w:rPr>
              <w:t xml:space="preserve">60.43 </w:t>
            </w:r>
          </w:p>
        </w:tc>
        <w:tc>
          <w:tcPr>
            <w:tcW w:w="1323" w:type="dxa"/>
            <w:noWrap/>
            <w:vAlign w:val="center"/>
          </w:tcPr>
          <w:p>
            <w:pPr>
              <w:pStyle w:val="21"/>
              <w:spacing w:line="300" w:lineRule="exact"/>
              <w:rPr>
                <w:rFonts w:eastAsia="方正仿宋_GBK"/>
                <w:sz w:val="24"/>
              </w:rPr>
            </w:pPr>
            <w:r>
              <w:rPr>
                <w:sz w:val="24"/>
              </w:rPr>
              <w:t xml:space="preserve">3.03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李市镇</w:t>
            </w:r>
          </w:p>
        </w:tc>
        <w:tc>
          <w:tcPr>
            <w:tcW w:w="1467" w:type="dxa"/>
            <w:noWrap/>
            <w:vAlign w:val="center"/>
          </w:tcPr>
          <w:p>
            <w:pPr>
              <w:pStyle w:val="21"/>
              <w:spacing w:line="300" w:lineRule="exact"/>
              <w:rPr>
                <w:rFonts w:eastAsia="方正仿宋_GBK"/>
                <w:sz w:val="24"/>
              </w:rPr>
            </w:pPr>
            <w:r>
              <w:rPr>
                <w:sz w:val="24"/>
              </w:rPr>
              <w:t xml:space="preserve">14.87 </w:t>
            </w:r>
          </w:p>
        </w:tc>
        <w:tc>
          <w:tcPr>
            <w:tcW w:w="1378" w:type="dxa"/>
            <w:noWrap/>
            <w:vAlign w:val="center"/>
          </w:tcPr>
          <w:p>
            <w:pPr>
              <w:pStyle w:val="21"/>
              <w:spacing w:line="300" w:lineRule="exact"/>
              <w:rPr>
                <w:rFonts w:eastAsia="方正仿宋_GBK"/>
                <w:sz w:val="24"/>
              </w:rPr>
            </w:pPr>
            <w:r>
              <w:rPr>
                <w:sz w:val="24"/>
              </w:rPr>
              <w:t xml:space="preserve">1.76 </w:t>
            </w:r>
          </w:p>
        </w:tc>
        <w:tc>
          <w:tcPr>
            <w:tcW w:w="1205" w:type="dxa"/>
            <w:noWrap/>
            <w:vAlign w:val="center"/>
          </w:tcPr>
          <w:p>
            <w:pPr>
              <w:pStyle w:val="21"/>
              <w:spacing w:line="300" w:lineRule="exact"/>
              <w:rPr>
                <w:rFonts w:eastAsia="方正仿宋_GBK"/>
                <w:sz w:val="24"/>
              </w:rPr>
            </w:pPr>
            <w:r>
              <w:rPr>
                <w:sz w:val="24"/>
              </w:rPr>
              <w:t xml:space="preserve">14.25 </w:t>
            </w:r>
          </w:p>
        </w:tc>
        <w:tc>
          <w:tcPr>
            <w:tcW w:w="1346" w:type="dxa"/>
            <w:noWrap/>
            <w:vAlign w:val="center"/>
          </w:tcPr>
          <w:p>
            <w:pPr>
              <w:pStyle w:val="21"/>
              <w:spacing w:line="300" w:lineRule="exact"/>
              <w:rPr>
                <w:rFonts w:eastAsia="方正仿宋_GBK"/>
                <w:sz w:val="24"/>
              </w:rPr>
            </w:pPr>
            <w:r>
              <w:rPr>
                <w:sz w:val="24"/>
              </w:rPr>
              <w:t xml:space="preserve">3.74 </w:t>
            </w:r>
          </w:p>
        </w:tc>
        <w:tc>
          <w:tcPr>
            <w:tcW w:w="1238" w:type="dxa"/>
            <w:noWrap/>
            <w:vAlign w:val="center"/>
          </w:tcPr>
          <w:p>
            <w:pPr>
              <w:pStyle w:val="21"/>
              <w:spacing w:line="300" w:lineRule="exact"/>
              <w:rPr>
                <w:rFonts w:eastAsia="方正仿宋_GBK"/>
                <w:sz w:val="24"/>
              </w:rPr>
            </w:pPr>
            <w:r>
              <w:rPr>
                <w:sz w:val="24"/>
              </w:rPr>
              <w:t xml:space="preserve">150.47 </w:t>
            </w:r>
          </w:p>
        </w:tc>
        <w:tc>
          <w:tcPr>
            <w:tcW w:w="1323" w:type="dxa"/>
            <w:noWrap/>
            <w:vAlign w:val="center"/>
          </w:tcPr>
          <w:p>
            <w:pPr>
              <w:pStyle w:val="21"/>
              <w:spacing w:line="300" w:lineRule="exact"/>
              <w:rPr>
                <w:rFonts w:eastAsia="方正仿宋_GBK"/>
                <w:sz w:val="24"/>
              </w:rPr>
            </w:pPr>
            <w:r>
              <w:rPr>
                <w:sz w:val="24"/>
              </w:rPr>
              <w:t xml:space="preserve">7.55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龙华镇</w:t>
            </w:r>
          </w:p>
        </w:tc>
        <w:tc>
          <w:tcPr>
            <w:tcW w:w="1467" w:type="dxa"/>
            <w:noWrap/>
            <w:vAlign w:val="center"/>
          </w:tcPr>
          <w:p>
            <w:pPr>
              <w:pStyle w:val="21"/>
              <w:spacing w:line="300" w:lineRule="exact"/>
              <w:rPr>
                <w:rFonts w:eastAsia="方正仿宋_GBK"/>
                <w:sz w:val="24"/>
              </w:rPr>
            </w:pPr>
            <w:r>
              <w:rPr>
                <w:sz w:val="24"/>
              </w:rPr>
              <w:t xml:space="preserve">10.60 </w:t>
            </w:r>
          </w:p>
        </w:tc>
        <w:tc>
          <w:tcPr>
            <w:tcW w:w="1378" w:type="dxa"/>
            <w:noWrap/>
            <w:vAlign w:val="center"/>
          </w:tcPr>
          <w:p>
            <w:pPr>
              <w:pStyle w:val="21"/>
              <w:spacing w:line="300" w:lineRule="exact"/>
              <w:rPr>
                <w:rFonts w:eastAsia="方正仿宋_GBK"/>
                <w:sz w:val="24"/>
              </w:rPr>
            </w:pPr>
            <w:r>
              <w:rPr>
                <w:sz w:val="24"/>
              </w:rPr>
              <w:t xml:space="preserve">1.25 </w:t>
            </w:r>
          </w:p>
        </w:tc>
        <w:tc>
          <w:tcPr>
            <w:tcW w:w="1205" w:type="dxa"/>
            <w:noWrap/>
            <w:vAlign w:val="center"/>
          </w:tcPr>
          <w:p>
            <w:pPr>
              <w:pStyle w:val="21"/>
              <w:spacing w:line="300" w:lineRule="exact"/>
              <w:rPr>
                <w:rFonts w:eastAsia="方正仿宋_GBK"/>
                <w:sz w:val="24"/>
              </w:rPr>
            </w:pPr>
            <w:r>
              <w:rPr>
                <w:sz w:val="24"/>
              </w:rPr>
              <w:t xml:space="preserve">3.92 </w:t>
            </w:r>
          </w:p>
        </w:tc>
        <w:tc>
          <w:tcPr>
            <w:tcW w:w="1346" w:type="dxa"/>
            <w:noWrap/>
            <w:vAlign w:val="center"/>
          </w:tcPr>
          <w:p>
            <w:pPr>
              <w:pStyle w:val="21"/>
              <w:spacing w:line="300" w:lineRule="exact"/>
              <w:rPr>
                <w:rFonts w:eastAsia="方正仿宋_GBK"/>
                <w:sz w:val="24"/>
              </w:rPr>
            </w:pPr>
            <w:r>
              <w:rPr>
                <w:sz w:val="24"/>
              </w:rPr>
              <w:t xml:space="preserve">1.03 </w:t>
            </w:r>
          </w:p>
        </w:tc>
        <w:tc>
          <w:tcPr>
            <w:tcW w:w="1238" w:type="dxa"/>
            <w:noWrap/>
            <w:vAlign w:val="center"/>
          </w:tcPr>
          <w:p>
            <w:pPr>
              <w:pStyle w:val="21"/>
              <w:spacing w:line="300" w:lineRule="exact"/>
              <w:rPr>
                <w:rFonts w:eastAsia="方正仿宋_GBK"/>
                <w:sz w:val="24"/>
              </w:rPr>
            </w:pPr>
            <w:r>
              <w:rPr>
                <w:sz w:val="24"/>
              </w:rPr>
              <w:t xml:space="preserve">66.21 </w:t>
            </w:r>
          </w:p>
        </w:tc>
        <w:tc>
          <w:tcPr>
            <w:tcW w:w="1323" w:type="dxa"/>
            <w:noWrap/>
            <w:vAlign w:val="center"/>
          </w:tcPr>
          <w:p>
            <w:pPr>
              <w:pStyle w:val="21"/>
              <w:spacing w:line="300" w:lineRule="exact"/>
              <w:rPr>
                <w:rFonts w:eastAsia="方正仿宋_GBK"/>
                <w:sz w:val="24"/>
              </w:rPr>
            </w:pPr>
            <w:r>
              <w:rPr>
                <w:sz w:val="24"/>
              </w:rPr>
              <w:t xml:space="preserve">3.32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珞璜镇</w:t>
            </w:r>
          </w:p>
        </w:tc>
        <w:tc>
          <w:tcPr>
            <w:tcW w:w="1467" w:type="dxa"/>
            <w:noWrap/>
            <w:vAlign w:val="center"/>
          </w:tcPr>
          <w:p>
            <w:pPr>
              <w:pStyle w:val="21"/>
              <w:spacing w:line="300" w:lineRule="exact"/>
              <w:rPr>
                <w:rFonts w:eastAsia="方正仿宋_GBK"/>
                <w:sz w:val="24"/>
              </w:rPr>
            </w:pPr>
            <w:r>
              <w:rPr>
                <w:sz w:val="24"/>
              </w:rPr>
              <w:t xml:space="preserve">89.67 </w:t>
            </w:r>
          </w:p>
        </w:tc>
        <w:tc>
          <w:tcPr>
            <w:tcW w:w="1378" w:type="dxa"/>
            <w:noWrap/>
            <w:vAlign w:val="center"/>
          </w:tcPr>
          <w:p>
            <w:pPr>
              <w:pStyle w:val="21"/>
              <w:spacing w:line="300" w:lineRule="exact"/>
              <w:rPr>
                <w:rFonts w:eastAsia="方正仿宋_GBK"/>
                <w:sz w:val="24"/>
              </w:rPr>
            </w:pPr>
            <w:r>
              <w:rPr>
                <w:sz w:val="24"/>
              </w:rPr>
              <w:t xml:space="preserve">10.60 </w:t>
            </w:r>
          </w:p>
        </w:tc>
        <w:tc>
          <w:tcPr>
            <w:tcW w:w="1205" w:type="dxa"/>
            <w:noWrap/>
            <w:vAlign w:val="center"/>
          </w:tcPr>
          <w:p>
            <w:pPr>
              <w:pStyle w:val="21"/>
              <w:spacing w:line="300" w:lineRule="exact"/>
              <w:rPr>
                <w:rFonts w:eastAsia="方正仿宋_GBK"/>
                <w:sz w:val="24"/>
              </w:rPr>
            </w:pPr>
            <w:r>
              <w:rPr>
                <w:sz w:val="24"/>
              </w:rPr>
              <w:t xml:space="preserve">18.32 </w:t>
            </w:r>
          </w:p>
        </w:tc>
        <w:tc>
          <w:tcPr>
            <w:tcW w:w="1346" w:type="dxa"/>
            <w:noWrap/>
            <w:vAlign w:val="center"/>
          </w:tcPr>
          <w:p>
            <w:pPr>
              <w:pStyle w:val="21"/>
              <w:spacing w:line="300" w:lineRule="exact"/>
              <w:rPr>
                <w:rFonts w:eastAsia="方正仿宋_GBK"/>
                <w:sz w:val="24"/>
              </w:rPr>
            </w:pPr>
            <w:r>
              <w:rPr>
                <w:sz w:val="24"/>
              </w:rPr>
              <w:t xml:space="preserve">4.81 </w:t>
            </w:r>
          </w:p>
        </w:tc>
        <w:tc>
          <w:tcPr>
            <w:tcW w:w="1238" w:type="dxa"/>
            <w:noWrap/>
            <w:vAlign w:val="center"/>
          </w:tcPr>
          <w:p>
            <w:pPr>
              <w:pStyle w:val="21"/>
              <w:spacing w:line="300" w:lineRule="exact"/>
              <w:rPr>
                <w:rFonts w:eastAsia="方正仿宋_GBK"/>
                <w:sz w:val="24"/>
              </w:rPr>
            </w:pPr>
            <w:r>
              <w:rPr>
                <w:sz w:val="24"/>
              </w:rPr>
              <w:t xml:space="preserve">39.98 </w:t>
            </w:r>
          </w:p>
        </w:tc>
        <w:tc>
          <w:tcPr>
            <w:tcW w:w="1323" w:type="dxa"/>
            <w:noWrap/>
            <w:vAlign w:val="center"/>
          </w:tcPr>
          <w:p>
            <w:pPr>
              <w:pStyle w:val="21"/>
              <w:spacing w:line="300" w:lineRule="exact"/>
              <w:rPr>
                <w:rFonts w:eastAsia="方正仿宋_GBK"/>
                <w:sz w:val="24"/>
              </w:rPr>
            </w:pPr>
            <w:r>
              <w:rPr>
                <w:sz w:val="24"/>
              </w:rPr>
              <w:t xml:space="preserve">2.01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圣泉街道</w:t>
            </w:r>
          </w:p>
        </w:tc>
        <w:tc>
          <w:tcPr>
            <w:tcW w:w="1467" w:type="dxa"/>
            <w:noWrap/>
            <w:vAlign w:val="center"/>
          </w:tcPr>
          <w:p>
            <w:pPr>
              <w:pStyle w:val="21"/>
              <w:spacing w:line="300" w:lineRule="exact"/>
              <w:rPr>
                <w:rFonts w:eastAsia="方正仿宋_GBK"/>
                <w:sz w:val="24"/>
              </w:rPr>
            </w:pPr>
            <w:r>
              <w:rPr>
                <w:sz w:val="24"/>
              </w:rPr>
              <w:t xml:space="preserve">14.83 </w:t>
            </w:r>
          </w:p>
        </w:tc>
        <w:tc>
          <w:tcPr>
            <w:tcW w:w="1378" w:type="dxa"/>
            <w:noWrap/>
            <w:vAlign w:val="center"/>
          </w:tcPr>
          <w:p>
            <w:pPr>
              <w:pStyle w:val="21"/>
              <w:spacing w:line="300" w:lineRule="exact"/>
              <w:rPr>
                <w:rFonts w:eastAsia="方正仿宋_GBK"/>
                <w:sz w:val="24"/>
              </w:rPr>
            </w:pPr>
            <w:r>
              <w:rPr>
                <w:sz w:val="24"/>
              </w:rPr>
              <w:t xml:space="preserve">1.75 </w:t>
            </w:r>
          </w:p>
        </w:tc>
        <w:tc>
          <w:tcPr>
            <w:tcW w:w="1205" w:type="dxa"/>
            <w:noWrap/>
            <w:vAlign w:val="center"/>
          </w:tcPr>
          <w:p>
            <w:pPr>
              <w:pStyle w:val="21"/>
              <w:spacing w:line="300" w:lineRule="exact"/>
              <w:rPr>
                <w:rFonts w:eastAsia="方正仿宋_GBK"/>
                <w:sz w:val="24"/>
              </w:rPr>
            </w:pPr>
            <w:r>
              <w:rPr>
                <w:sz w:val="24"/>
              </w:rPr>
              <w:t xml:space="preserve">25.72 </w:t>
            </w:r>
          </w:p>
        </w:tc>
        <w:tc>
          <w:tcPr>
            <w:tcW w:w="1346" w:type="dxa"/>
            <w:noWrap/>
            <w:vAlign w:val="center"/>
          </w:tcPr>
          <w:p>
            <w:pPr>
              <w:pStyle w:val="21"/>
              <w:spacing w:line="300" w:lineRule="exact"/>
              <w:rPr>
                <w:rFonts w:eastAsia="方正仿宋_GBK"/>
                <w:sz w:val="24"/>
              </w:rPr>
            </w:pPr>
            <w:r>
              <w:rPr>
                <w:sz w:val="24"/>
              </w:rPr>
              <w:t xml:space="preserve">6.75 </w:t>
            </w:r>
          </w:p>
        </w:tc>
        <w:tc>
          <w:tcPr>
            <w:tcW w:w="1238" w:type="dxa"/>
            <w:noWrap/>
            <w:vAlign w:val="center"/>
          </w:tcPr>
          <w:p>
            <w:pPr>
              <w:pStyle w:val="21"/>
              <w:spacing w:line="300" w:lineRule="exact"/>
              <w:rPr>
                <w:rFonts w:eastAsia="方正仿宋_GBK"/>
                <w:sz w:val="24"/>
              </w:rPr>
            </w:pPr>
            <w:r>
              <w:rPr>
                <w:sz w:val="24"/>
              </w:rPr>
              <w:t xml:space="preserve">6.46 </w:t>
            </w:r>
          </w:p>
        </w:tc>
        <w:tc>
          <w:tcPr>
            <w:tcW w:w="1323" w:type="dxa"/>
            <w:noWrap/>
            <w:vAlign w:val="center"/>
          </w:tcPr>
          <w:p>
            <w:pPr>
              <w:pStyle w:val="21"/>
              <w:spacing w:line="300" w:lineRule="exact"/>
              <w:rPr>
                <w:rFonts w:eastAsia="方正仿宋_GBK"/>
                <w:sz w:val="24"/>
              </w:rPr>
            </w:pPr>
            <w:r>
              <w:rPr>
                <w:sz w:val="24"/>
              </w:rPr>
              <w:t xml:space="preserve">0.32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石蟆镇</w:t>
            </w:r>
          </w:p>
        </w:tc>
        <w:tc>
          <w:tcPr>
            <w:tcW w:w="1467" w:type="dxa"/>
            <w:noWrap/>
            <w:vAlign w:val="center"/>
          </w:tcPr>
          <w:p>
            <w:pPr>
              <w:pStyle w:val="21"/>
              <w:spacing w:line="300" w:lineRule="exact"/>
              <w:rPr>
                <w:rFonts w:eastAsia="方正仿宋_GBK"/>
                <w:sz w:val="24"/>
              </w:rPr>
            </w:pPr>
            <w:r>
              <w:rPr>
                <w:sz w:val="24"/>
              </w:rPr>
              <w:t xml:space="preserve">30.48 </w:t>
            </w:r>
          </w:p>
        </w:tc>
        <w:tc>
          <w:tcPr>
            <w:tcW w:w="1378" w:type="dxa"/>
            <w:noWrap/>
            <w:vAlign w:val="center"/>
          </w:tcPr>
          <w:p>
            <w:pPr>
              <w:pStyle w:val="21"/>
              <w:spacing w:line="300" w:lineRule="exact"/>
              <w:rPr>
                <w:rFonts w:eastAsia="方正仿宋_GBK"/>
                <w:sz w:val="24"/>
              </w:rPr>
            </w:pPr>
            <w:r>
              <w:rPr>
                <w:sz w:val="24"/>
              </w:rPr>
              <w:t xml:space="preserve">3.60 </w:t>
            </w:r>
          </w:p>
        </w:tc>
        <w:tc>
          <w:tcPr>
            <w:tcW w:w="1205" w:type="dxa"/>
            <w:noWrap/>
            <w:vAlign w:val="center"/>
          </w:tcPr>
          <w:p>
            <w:pPr>
              <w:pStyle w:val="21"/>
              <w:spacing w:line="300" w:lineRule="exact"/>
              <w:rPr>
                <w:rFonts w:eastAsia="方正仿宋_GBK"/>
                <w:sz w:val="24"/>
              </w:rPr>
            </w:pPr>
            <w:r>
              <w:rPr>
                <w:sz w:val="24"/>
              </w:rPr>
              <w:t xml:space="preserve">8.46 </w:t>
            </w:r>
          </w:p>
        </w:tc>
        <w:tc>
          <w:tcPr>
            <w:tcW w:w="1346" w:type="dxa"/>
            <w:noWrap/>
            <w:vAlign w:val="center"/>
          </w:tcPr>
          <w:p>
            <w:pPr>
              <w:pStyle w:val="21"/>
              <w:spacing w:line="300" w:lineRule="exact"/>
              <w:rPr>
                <w:rFonts w:eastAsia="方正仿宋_GBK"/>
                <w:sz w:val="24"/>
              </w:rPr>
            </w:pPr>
            <w:r>
              <w:rPr>
                <w:sz w:val="24"/>
              </w:rPr>
              <w:t xml:space="preserve">2.22 </w:t>
            </w:r>
          </w:p>
        </w:tc>
        <w:tc>
          <w:tcPr>
            <w:tcW w:w="1238" w:type="dxa"/>
            <w:noWrap/>
            <w:vAlign w:val="center"/>
          </w:tcPr>
          <w:p>
            <w:pPr>
              <w:pStyle w:val="21"/>
              <w:spacing w:line="300" w:lineRule="exact"/>
              <w:rPr>
                <w:rFonts w:eastAsia="方正仿宋_GBK"/>
                <w:sz w:val="24"/>
              </w:rPr>
            </w:pPr>
            <w:r>
              <w:rPr>
                <w:sz w:val="24"/>
              </w:rPr>
              <w:t xml:space="preserve">169.98 </w:t>
            </w:r>
          </w:p>
        </w:tc>
        <w:tc>
          <w:tcPr>
            <w:tcW w:w="1323" w:type="dxa"/>
            <w:noWrap/>
            <w:vAlign w:val="center"/>
          </w:tcPr>
          <w:p>
            <w:pPr>
              <w:pStyle w:val="21"/>
              <w:spacing w:line="300" w:lineRule="exact"/>
              <w:rPr>
                <w:rFonts w:eastAsia="方正仿宋_GBK"/>
                <w:sz w:val="24"/>
              </w:rPr>
            </w:pPr>
            <w:r>
              <w:rPr>
                <w:sz w:val="24"/>
              </w:rPr>
              <w:t xml:space="preserve">8.53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石门镇</w:t>
            </w:r>
          </w:p>
        </w:tc>
        <w:tc>
          <w:tcPr>
            <w:tcW w:w="1467" w:type="dxa"/>
            <w:noWrap/>
            <w:vAlign w:val="center"/>
          </w:tcPr>
          <w:p>
            <w:pPr>
              <w:pStyle w:val="21"/>
              <w:spacing w:line="300" w:lineRule="exact"/>
              <w:rPr>
                <w:rFonts w:eastAsia="方正仿宋_GBK"/>
                <w:sz w:val="24"/>
              </w:rPr>
            </w:pPr>
            <w:r>
              <w:rPr>
                <w:sz w:val="24"/>
              </w:rPr>
              <w:t xml:space="preserve">10.60 </w:t>
            </w:r>
          </w:p>
        </w:tc>
        <w:tc>
          <w:tcPr>
            <w:tcW w:w="1378" w:type="dxa"/>
            <w:noWrap/>
            <w:vAlign w:val="center"/>
          </w:tcPr>
          <w:p>
            <w:pPr>
              <w:pStyle w:val="21"/>
              <w:spacing w:line="300" w:lineRule="exact"/>
              <w:rPr>
                <w:rFonts w:eastAsia="方正仿宋_GBK"/>
                <w:sz w:val="24"/>
              </w:rPr>
            </w:pPr>
            <w:r>
              <w:rPr>
                <w:sz w:val="24"/>
              </w:rPr>
              <w:t xml:space="preserve">1.25 </w:t>
            </w:r>
          </w:p>
        </w:tc>
        <w:tc>
          <w:tcPr>
            <w:tcW w:w="1205" w:type="dxa"/>
            <w:noWrap/>
            <w:vAlign w:val="center"/>
          </w:tcPr>
          <w:p>
            <w:pPr>
              <w:pStyle w:val="21"/>
              <w:spacing w:line="300" w:lineRule="exact"/>
              <w:rPr>
                <w:rFonts w:eastAsia="方正仿宋_GBK"/>
                <w:sz w:val="24"/>
              </w:rPr>
            </w:pPr>
            <w:r>
              <w:rPr>
                <w:sz w:val="24"/>
              </w:rPr>
              <w:t xml:space="preserve">3.04 </w:t>
            </w:r>
          </w:p>
        </w:tc>
        <w:tc>
          <w:tcPr>
            <w:tcW w:w="1346" w:type="dxa"/>
            <w:noWrap/>
            <w:vAlign w:val="center"/>
          </w:tcPr>
          <w:p>
            <w:pPr>
              <w:pStyle w:val="21"/>
              <w:spacing w:line="300" w:lineRule="exact"/>
              <w:rPr>
                <w:rFonts w:eastAsia="方正仿宋_GBK"/>
                <w:sz w:val="24"/>
              </w:rPr>
            </w:pPr>
            <w:r>
              <w:rPr>
                <w:sz w:val="24"/>
              </w:rPr>
              <w:t xml:space="preserve">0.80 </w:t>
            </w:r>
          </w:p>
        </w:tc>
        <w:tc>
          <w:tcPr>
            <w:tcW w:w="1238" w:type="dxa"/>
            <w:noWrap/>
            <w:vAlign w:val="center"/>
          </w:tcPr>
          <w:p>
            <w:pPr>
              <w:pStyle w:val="21"/>
              <w:spacing w:line="300" w:lineRule="exact"/>
              <w:rPr>
                <w:rFonts w:eastAsia="方正仿宋_GBK"/>
                <w:sz w:val="24"/>
              </w:rPr>
            </w:pPr>
            <w:r>
              <w:rPr>
                <w:sz w:val="24"/>
              </w:rPr>
              <w:t xml:space="preserve">70.71 </w:t>
            </w:r>
          </w:p>
        </w:tc>
        <w:tc>
          <w:tcPr>
            <w:tcW w:w="1323" w:type="dxa"/>
            <w:noWrap/>
            <w:vAlign w:val="center"/>
          </w:tcPr>
          <w:p>
            <w:pPr>
              <w:pStyle w:val="21"/>
              <w:spacing w:line="300" w:lineRule="exact"/>
              <w:rPr>
                <w:rFonts w:eastAsia="方正仿宋_GBK"/>
                <w:sz w:val="24"/>
              </w:rPr>
            </w:pPr>
            <w:r>
              <w:rPr>
                <w:sz w:val="24"/>
              </w:rPr>
              <w:t xml:space="preserve">3.55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双福街道</w:t>
            </w:r>
          </w:p>
        </w:tc>
        <w:tc>
          <w:tcPr>
            <w:tcW w:w="1467" w:type="dxa"/>
            <w:noWrap/>
            <w:vAlign w:val="center"/>
          </w:tcPr>
          <w:p>
            <w:pPr>
              <w:pStyle w:val="21"/>
              <w:spacing w:line="300" w:lineRule="exact"/>
              <w:rPr>
                <w:rFonts w:eastAsia="方正仿宋_GBK"/>
                <w:sz w:val="24"/>
              </w:rPr>
            </w:pPr>
            <w:r>
              <w:rPr>
                <w:sz w:val="24"/>
              </w:rPr>
              <w:t xml:space="preserve">38.35 </w:t>
            </w:r>
          </w:p>
        </w:tc>
        <w:tc>
          <w:tcPr>
            <w:tcW w:w="1378" w:type="dxa"/>
            <w:noWrap/>
            <w:vAlign w:val="center"/>
          </w:tcPr>
          <w:p>
            <w:pPr>
              <w:pStyle w:val="21"/>
              <w:spacing w:line="300" w:lineRule="exact"/>
              <w:rPr>
                <w:rFonts w:eastAsia="方正仿宋_GBK"/>
                <w:sz w:val="24"/>
              </w:rPr>
            </w:pPr>
            <w:r>
              <w:rPr>
                <w:sz w:val="24"/>
              </w:rPr>
              <w:t xml:space="preserve">4.53 </w:t>
            </w:r>
          </w:p>
        </w:tc>
        <w:tc>
          <w:tcPr>
            <w:tcW w:w="1205" w:type="dxa"/>
            <w:noWrap/>
            <w:vAlign w:val="center"/>
          </w:tcPr>
          <w:p>
            <w:pPr>
              <w:pStyle w:val="21"/>
              <w:spacing w:line="300" w:lineRule="exact"/>
              <w:rPr>
                <w:rFonts w:eastAsia="方正仿宋_GBK"/>
                <w:sz w:val="24"/>
              </w:rPr>
            </w:pPr>
            <w:r>
              <w:rPr>
                <w:sz w:val="24"/>
              </w:rPr>
              <w:t xml:space="preserve">12.26 </w:t>
            </w:r>
          </w:p>
        </w:tc>
        <w:tc>
          <w:tcPr>
            <w:tcW w:w="1346" w:type="dxa"/>
            <w:noWrap/>
            <w:vAlign w:val="center"/>
          </w:tcPr>
          <w:p>
            <w:pPr>
              <w:pStyle w:val="21"/>
              <w:spacing w:line="300" w:lineRule="exact"/>
              <w:rPr>
                <w:rFonts w:eastAsia="方正仿宋_GBK"/>
                <w:sz w:val="24"/>
              </w:rPr>
            </w:pPr>
            <w:r>
              <w:rPr>
                <w:sz w:val="24"/>
              </w:rPr>
              <w:t xml:space="preserve">3.22 </w:t>
            </w:r>
          </w:p>
        </w:tc>
        <w:tc>
          <w:tcPr>
            <w:tcW w:w="1238" w:type="dxa"/>
            <w:noWrap/>
            <w:vAlign w:val="center"/>
          </w:tcPr>
          <w:p>
            <w:pPr>
              <w:pStyle w:val="21"/>
              <w:spacing w:line="300" w:lineRule="exact"/>
              <w:rPr>
                <w:rFonts w:eastAsia="方正仿宋_GBK"/>
                <w:sz w:val="24"/>
              </w:rPr>
            </w:pPr>
            <w:r>
              <w:rPr>
                <w:sz w:val="24"/>
              </w:rPr>
              <w:t xml:space="preserve">5.76 </w:t>
            </w:r>
          </w:p>
        </w:tc>
        <w:tc>
          <w:tcPr>
            <w:tcW w:w="1323" w:type="dxa"/>
            <w:noWrap/>
            <w:vAlign w:val="center"/>
          </w:tcPr>
          <w:p>
            <w:pPr>
              <w:pStyle w:val="21"/>
              <w:spacing w:line="300" w:lineRule="exact"/>
              <w:rPr>
                <w:rFonts w:eastAsia="方正仿宋_GBK"/>
                <w:sz w:val="24"/>
              </w:rPr>
            </w:pPr>
            <w:r>
              <w:rPr>
                <w:sz w:val="24"/>
              </w:rPr>
              <w:t xml:space="preserve">0.29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四面山镇</w:t>
            </w:r>
          </w:p>
        </w:tc>
        <w:tc>
          <w:tcPr>
            <w:tcW w:w="1467" w:type="dxa"/>
            <w:noWrap/>
            <w:vAlign w:val="center"/>
          </w:tcPr>
          <w:p>
            <w:pPr>
              <w:pStyle w:val="21"/>
              <w:spacing w:line="300" w:lineRule="exact"/>
              <w:rPr>
                <w:rFonts w:eastAsia="方正仿宋_GBK"/>
                <w:sz w:val="24"/>
              </w:rPr>
            </w:pPr>
            <w:r>
              <w:rPr>
                <w:sz w:val="24"/>
              </w:rPr>
              <w:t xml:space="preserve">207.90 </w:t>
            </w:r>
          </w:p>
        </w:tc>
        <w:tc>
          <w:tcPr>
            <w:tcW w:w="1378" w:type="dxa"/>
            <w:noWrap/>
            <w:vAlign w:val="center"/>
          </w:tcPr>
          <w:p>
            <w:pPr>
              <w:pStyle w:val="21"/>
              <w:spacing w:line="300" w:lineRule="exact"/>
              <w:rPr>
                <w:rFonts w:eastAsia="方正仿宋_GBK"/>
                <w:sz w:val="24"/>
              </w:rPr>
            </w:pPr>
            <w:r>
              <w:rPr>
                <w:sz w:val="24"/>
              </w:rPr>
              <w:t xml:space="preserve">24.58 </w:t>
            </w:r>
          </w:p>
        </w:tc>
        <w:tc>
          <w:tcPr>
            <w:tcW w:w="1205" w:type="dxa"/>
            <w:noWrap/>
            <w:vAlign w:val="center"/>
          </w:tcPr>
          <w:p>
            <w:pPr>
              <w:pStyle w:val="21"/>
              <w:spacing w:line="300" w:lineRule="exact"/>
              <w:rPr>
                <w:rFonts w:eastAsia="方正仿宋_GBK"/>
                <w:sz w:val="24"/>
              </w:rPr>
            </w:pPr>
            <w:r>
              <w:rPr>
                <w:sz w:val="24"/>
              </w:rPr>
              <w:t xml:space="preserve">23.19 </w:t>
            </w:r>
          </w:p>
        </w:tc>
        <w:tc>
          <w:tcPr>
            <w:tcW w:w="1346" w:type="dxa"/>
            <w:noWrap/>
            <w:vAlign w:val="center"/>
          </w:tcPr>
          <w:p>
            <w:pPr>
              <w:pStyle w:val="21"/>
              <w:spacing w:line="300" w:lineRule="exact"/>
              <w:rPr>
                <w:rFonts w:eastAsia="方正仿宋_GBK"/>
                <w:sz w:val="24"/>
              </w:rPr>
            </w:pPr>
            <w:r>
              <w:rPr>
                <w:sz w:val="24"/>
              </w:rPr>
              <w:t xml:space="preserve">6.09 </w:t>
            </w:r>
          </w:p>
        </w:tc>
        <w:tc>
          <w:tcPr>
            <w:tcW w:w="1238" w:type="dxa"/>
            <w:noWrap/>
            <w:vAlign w:val="center"/>
          </w:tcPr>
          <w:p>
            <w:pPr>
              <w:pStyle w:val="21"/>
              <w:spacing w:line="300" w:lineRule="exact"/>
              <w:rPr>
                <w:rFonts w:eastAsia="方正仿宋_GBK"/>
                <w:sz w:val="24"/>
              </w:rPr>
            </w:pPr>
            <w:r>
              <w:rPr>
                <w:sz w:val="24"/>
              </w:rPr>
              <w:t xml:space="preserve">25.03 </w:t>
            </w:r>
          </w:p>
        </w:tc>
        <w:tc>
          <w:tcPr>
            <w:tcW w:w="1323" w:type="dxa"/>
            <w:noWrap/>
            <w:vAlign w:val="center"/>
          </w:tcPr>
          <w:p>
            <w:pPr>
              <w:pStyle w:val="21"/>
              <w:spacing w:line="300" w:lineRule="exact"/>
              <w:rPr>
                <w:rFonts w:eastAsia="方正仿宋_GBK"/>
                <w:sz w:val="24"/>
              </w:rPr>
            </w:pPr>
            <w:r>
              <w:rPr>
                <w:sz w:val="24"/>
              </w:rPr>
              <w:t xml:space="preserve">1.26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四屏镇</w:t>
            </w:r>
          </w:p>
        </w:tc>
        <w:tc>
          <w:tcPr>
            <w:tcW w:w="1467" w:type="dxa"/>
            <w:noWrap/>
            <w:vAlign w:val="center"/>
          </w:tcPr>
          <w:p>
            <w:pPr>
              <w:pStyle w:val="21"/>
              <w:spacing w:line="300" w:lineRule="exact"/>
              <w:rPr>
                <w:rFonts w:eastAsia="方正仿宋_GBK"/>
                <w:sz w:val="24"/>
              </w:rPr>
            </w:pPr>
            <w:r>
              <w:rPr>
                <w:sz w:val="24"/>
              </w:rPr>
              <w:t xml:space="preserve">4.36 </w:t>
            </w:r>
          </w:p>
        </w:tc>
        <w:tc>
          <w:tcPr>
            <w:tcW w:w="1378" w:type="dxa"/>
            <w:noWrap/>
            <w:vAlign w:val="center"/>
          </w:tcPr>
          <w:p>
            <w:pPr>
              <w:pStyle w:val="21"/>
              <w:spacing w:line="300" w:lineRule="exact"/>
              <w:rPr>
                <w:rFonts w:eastAsia="方正仿宋_GBK"/>
                <w:sz w:val="24"/>
              </w:rPr>
            </w:pPr>
            <w:r>
              <w:rPr>
                <w:sz w:val="24"/>
              </w:rPr>
              <w:t xml:space="preserve">0.52 </w:t>
            </w:r>
          </w:p>
        </w:tc>
        <w:tc>
          <w:tcPr>
            <w:tcW w:w="1205" w:type="dxa"/>
            <w:noWrap/>
            <w:vAlign w:val="center"/>
          </w:tcPr>
          <w:p>
            <w:pPr>
              <w:pStyle w:val="21"/>
              <w:spacing w:line="300" w:lineRule="exact"/>
              <w:rPr>
                <w:rFonts w:eastAsia="方正仿宋_GBK"/>
                <w:sz w:val="24"/>
              </w:rPr>
            </w:pPr>
            <w:r>
              <w:rPr>
                <w:sz w:val="24"/>
              </w:rPr>
              <w:t xml:space="preserve">17.93 </w:t>
            </w:r>
          </w:p>
        </w:tc>
        <w:tc>
          <w:tcPr>
            <w:tcW w:w="1346" w:type="dxa"/>
            <w:noWrap/>
            <w:vAlign w:val="center"/>
          </w:tcPr>
          <w:p>
            <w:pPr>
              <w:pStyle w:val="21"/>
              <w:spacing w:line="300" w:lineRule="exact"/>
              <w:rPr>
                <w:rFonts w:eastAsia="方正仿宋_GBK"/>
                <w:sz w:val="24"/>
              </w:rPr>
            </w:pPr>
            <w:r>
              <w:rPr>
                <w:sz w:val="24"/>
              </w:rPr>
              <w:t xml:space="preserve">4.71 </w:t>
            </w:r>
          </w:p>
        </w:tc>
        <w:tc>
          <w:tcPr>
            <w:tcW w:w="1238" w:type="dxa"/>
            <w:noWrap/>
            <w:vAlign w:val="center"/>
          </w:tcPr>
          <w:p>
            <w:pPr>
              <w:pStyle w:val="21"/>
              <w:spacing w:line="300" w:lineRule="exact"/>
              <w:rPr>
                <w:rFonts w:eastAsia="方正仿宋_GBK"/>
                <w:sz w:val="24"/>
              </w:rPr>
            </w:pPr>
            <w:r>
              <w:rPr>
                <w:sz w:val="24"/>
              </w:rPr>
              <w:t xml:space="preserve">39.12 </w:t>
            </w:r>
          </w:p>
        </w:tc>
        <w:tc>
          <w:tcPr>
            <w:tcW w:w="1323" w:type="dxa"/>
            <w:noWrap/>
            <w:vAlign w:val="center"/>
          </w:tcPr>
          <w:p>
            <w:pPr>
              <w:pStyle w:val="21"/>
              <w:spacing w:line="300" w:lineRule="exact"/>
              <w:rPr>
                <w:rFonts w:eastAsia="方正仿宋_GBK"/>
                <w:sz w:val="24"/>
              </w:rPr>
            </w:pPr>
            <w:r>
              <w:rPr>
                <w:sz w:val="24"/>
              </w:rPr>
              <w:t xml:space="preserve">1.96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塘河镇</w:t>
            </w:r>
          </w:p>
        </w:tc>
        <w:tc>
          <w:tcPr>
            <w:tcW w:w="1467" w:type="dxa"/>
            <w:noWrap/>
            <w:vAlign w:val="center"/>
          </w:tcPr>
          <w:p>
            <w:pPr>
              <w:pStyle w:val="21"/>
              <w:spacing w:line="300" w:lineRule="exact"/>
              <w:rPr>
                <w:rFonts w:eastAsia="方正仿宋_GBK"/>
                <w:sz w:val="24"/>
              </w:rPr>
            </w:pPr>
            <w:r>
              <w:rPr>
                <w:sz w:val="24"/>
              </w:rPr>
              <w:t xml:space="preserve">51.07 </w:t>
            </w:r>
          </w:p>
        </w:tc>
        <w:tc>
          <w:tcPr>
            <w:tcW w:w="1378" w:type="dxa"/>
            <w:noWrap/>
            <w:vAlign w:val="center"/>
          </w:tcPr>
          <w:p>
            <w:pPr>
              <w:pStyle w:val="21"/>
              <w:spacing w:line="300" w:lineRule="exact"/>
              <w:rPr>
                <w:rFonts w:eastAsia="方正仿宋_GBK"/>
                <w:sz w:val="24"/>
              </w:rPr>
            </w:pPr>
            <w:r>
              <w:rPr>
                <w:sz w:val="24"/>
              </w:rPr>
              <w:t xml:space="preserve">6.04 </w:t>
            </w:r>
          </w:p>
        </w:tc>
        <w:tc>
          <w:tcPr>
            <w:tcW w:w="1205" w:type="dxa"/>
            <w:noWrap/>
            <w:vAlign w:val="center"/>
          </w:tcPr>
          <w:p>
            <w:pPr>
              <w:pStyle w:val="21"/>
              <w:spacing w:line="300" w:lineRule="exact"/>
              <w:rPr>
                <w:rFonts w:eastAsia="方正仿宋_GBK"/>
                <w:sz w:val="24"/>
              </w:rPr>
            </w:pPr>
            <w:r>
              <w:rPr>
                <w:sz w:val="24"/>
              </w:rPr>
              <w:t xml:space="preserve">3.86 </w:t>
            </w:r>
          </w:p>
        </w:tc>
        <w:tc>
          <w:tcPr>
            <w:tcW w:w="1346" w:type="dxa"/>
            <w:noWrap/>
            <w:vAlign w:val="center"/>
          </w:tcPr>
          <w:p>
            <w:pPr>
              <w:pStyle w:val="21"/>
              <w:spacing w:line="300" w:lineRule="exact"/>
              <w:rPr>
                <w:rFonts w:eastAsia="方正仿宋_GBK"/>
                <w:sz w:val="24"/>
              </w:rPr>
            </w:pPr>
            <w:r>
              <w:rPr>
                <w:sz w:val="24"/>
              </w:rPr>
              <w:t xml:space="preserve">1.01 </w:t>
            </w:r>
          </w:p>
        </w:tc>
        <w:tc>
          <w:tcPr>
            <w:tcW w:w="1238" w:type="dxa"/>
            <w:noWrap/>
            <w:vAlign w:val="center"/>
          </w:tcPr>
          <w:p>
            <w:pPr>
              <w:pStyle w:val="21"/>
              <w:spacing w:line="300" w:lineRule="exact"/>
              <w:rPr>
                <w:rFonts w:eastAsia="方正仿宋_GBK"/>
                <w:sz w:val="24"/>
              </w:rPr>
            </w:pPr>
            <w:r>
              <w:rPr>
                <w:sz w:val="24"/>
              </w:rPr>
              <w:t xml:space="preserve">6.37 </w:t>
            </w:r>
          </w:p>
        </w:tc>
        <w:tc>
          <w:tcPr>
            <w:tcW w:w="1323" w:type="dxa"/>
            <w:noWrap/>
            <w:vAlign w:val="center"/>
          </w:tcPr>
          <w:p>
            <w:pPr>
              <w:pStyle w:val="21"/>
              <w:spacing w:line="300" w:lineRule="exact"/>
              <w:rPr>
                <w:rFonts w:eastAsia="方正仿宋_GBK"/>
                <w:sz w:val="24"/>
              </w:rPr>
            </w:pPr>
            <w:r>
              <w:rPr>
                <w:sz w:val="24"/>
              </w:rPr>
              <w:t xml:space="preserve">0.32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吴滩镇</w:t>
            </w:r>
          </w:p>
        </w:tc>
        <w:tc>
          <w:tcPr>
            <w:tcW w:w="1467" w:type="dxa"/>
            <w:noWrap/>
            <w:vAlign w:val="center"/>
          </w:tcPr>
          <w:p>
            <w:pPr>
              <w:pStyle w:val="21"/>
              <w:spacing w:line="300" w:lineRule="exact"/>
              <w:rPr>
                <w:rFonts w:eastAsia="方正仿宋_GBK"/>
                <w:sz w:val="24"/>
              </w:rPr>
            </w:pPr>
            <w:r>
              <w:rPr>
                <w:sz w:val="24"/>
              </w:rPr>
              <w:t xml:space="preserve">2.72 </w:t>
            </w:r>
          </w:p>
        </w:tc>
        <w:tc>
          <w:tcPr>
            <w:tcW w:w="1378" w:type="dxa"/>
            <w:noWrap/>
            <w:vAlign w:val="center"/>
          </w:tcPr>
          <w:p>
            <w:pPr>
              <w:pStyle w:val="21"/>
              <w:spacing w:line="300" w:lineRule="exact"/>
              <w:rPr>
                <w:rFonts w:eastAsia="方正仿宋_GBK"/>
                <w:sz w:val="24"/>
              </w:rPr>
            </w:pPr>
            <w:r>
              <w:rPr>
                <w:sz w:val="24"/>
              </w:rPr>
              <w:t xml:space="preserve">0.32 </w:t>
            </w:r>
          </w:p>
        </w:tc>
        <w:tc>
          <w:tcPr>
            <w:tcW w:w="1205" w:type="dxa"/>
            <w:noWrap/>
            <w:vAlign w:val="center"/>
          </w:tcPr>
          <w:p>
            <w:pPr>
              <w:pStyle w:val="21"/>
              <w:spacing w:line="300" w:lineRule="exact"/>
              <w:rPr>
                <w:rFonts w:eastAsia="方正仿宋_GBK"/>
                <w:sz w:val="24"/>
              </w:rPr>
            </w:pPr>
            <w:r>
              <w:rPr>
                <w:sz w:val="24"/>
              </w:rPr>
              <w:t xml:space="preserve">11.90 </w:t>
            </w:r>
          </w:p>
        </w:tc>
        <w:tc>
          <w:tcPr>
            <w:tcW w:w="1346" w:type="dxa"/>
            <w:noWrap/>
            <w:vAlign w:val="center"/>
          </w:tcPr>
          <w:p>
            <w:pPr>
              <w:pStyle w:val="21"/>
              <w:spacing w:line="300" w:lineRule="exact"/>
              <w:rPr>
                <w:rFonts w:eastAsia="方正仿宋_GBK"/>
                <w:sz w:val="24"/>
              </w:rPr>
            </w:pPr>
            <w:r>
              <w:rPr>
                <w:sz w:val="24"/>
              </w:rPr>
              <w:t xml:space="preserve">3.12 </w:t>
            </w:r>
          </w:p>
        </w:tc>
        <w:tc>
          <w:tcPr>
            <w:tcW w:w="1238" w:type="dxa"/>
            <w:noWrap/>
            <w:vAlign w:val="center"/>
          </w:tcPr>
          <w:p>
            <w:pPr>
              <w:pStyle w:val="21"/>
              <w:spacing w:line="300" w:lineRule="exact"/>
              <w:rPr>
                <w:rFonts w:eastAsia="方正仿宋_GBK"/>
                <w:sz w:val="24"/>
              </w:rPr>
            </w:pPr>
            <w:r>
              <w:rPr>
                <w:sz w:val="24"/>
              </w:rPr>
              <w:t xml:space="preserve">66.25 </w:t>
            </w:r>
          </w:p>
        </w:tc>
        <w:tc>
          <w:tcPr>
            <w:tcW w:w="1323" w:type="dxa"/>
            <w:noWrap/>
            <w:vAlign w:val="center"/>
          </w:tcPr>
          <w:p>
            <w:pPr>
              <w:pStyle w:val="21"/>
              <w:spacing w:line="300" w:lineRule="exact"/>
              <w:rPr>
                <w:rFonts w:eastAsia="方正仿宋_GBK"/>
                <w:sz w:val="24"/>
              </w:rPr>
            </w:pPr>
            <w:r>
              <w:rPr>
                <w:sz w:val="24"/>
              </w:rPr>
              <w:t xml:space="preserve">3.33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西湖镇</w:t>
            </w:r>
          </w:p>
        </w:tc>
        <w:tc>
          <w:tcPr>
            <w:tcW w:w="1467" w:type="dxa"/>
            <w:noWrap/>
            <w:vAlign w:val="center"/>
          </w:tcPr>
          <w:p>
            <w:pPr>
              <w:pStyle w:val="21"/>
              <w:spacing w:line="300" w:lineRule="exact"/>
              <w:rPr>
                <w:rFonts w:eastAsia="方正仿宋_GBK"/>
                <w:sz w:val="24"/>
              </w:rPr>
            </w:pPr>
            <w:r>
              <w:rPr>
                <w:sz w:val="24"/>
              </w:rPr>
              <w:t xml:space="preserve">12.54 </w:t>
            </w:r>
          </w:p>
        </w:tc>
        <w:tc>
          <w:tcPr>
            <w:tcW w:w="1378" w:type="dxa"/>
            <w:noWrap/>
            <w:vAlign w:val="center"/>
          </w:tcPr>
          <w:p>
            <w:pPr>
              <w:pStyle w:val="21"/>
              <w:spacing w:line="300" w:lineRule="exact"/>
              <w:rPr>
                <w:rFonts w:eastAsia="方正仿宋_GBK"/>
                <w:sz w:val="24"/>
              </w:rPr>
            </w:pPr>
            <w:r>
              <w:rPr>
                <w:sz w:val="24"/>
              </w:rPr>
              <w:t xml:space="preserve">1.48 </w:t>
            </w:r>
          </w:p>
        </w:tc>
        <w:tc>
          <w:tcPr>
            <w:tcW w:w="1205" w:type="dxa"/>
            <w:noWrap/>
            <w:vAlign w:val="center"/>
          </w:tcPr>
          <w:p>
            <w:pPr>
              <w:pStyle w:val="21"/>
              <w:spacing w:line="300" w:lineRule="exact"/>
              <w:rPr>
                <w:rFonts w:eastAsia="方正仿宋_GBK"/>
                <w:sz w:val="24"/>
              </w:rPr>
            </w:pPr>
            <w:r>
              <w:rPr>
                <w:sz w:val="24"/>
              </w:rPr>
              <w:t xml:space="preserve">2.08 </w:t>
            </w:r>
          </w:p>
        </w:tc>
        <w:tc>
          <w:tcPr>
            <w:tcW w:w="1346" w:type="dxa"/>
            <w:noWrap/>
            <w:vAlign w:val="center"/>
          </w:tcPr>
          <w:p>
            <w:pPr>
              <w:pStyle w:val="21"/>
              <w:spacing w:line="300" w:lineRule="exact"/>
              <w:rPr>
                <w:rFonts w:eastAsia="方正仿宋_GBK"/>
                <w:sz w:val="24"/>
              </w:rPr>
            </w:pPr>
            <w:r>
              <w:rPr>
                <w:sz w:val="24"/>
              </w:rPr>
              <w:t xml:space="preserve">0.55 </w:t>
            </w:r>
          </w:p>
        </w:tc>
        <w:tc>
          <w:tcPr>
            <w:tcW w:w="1238" w:type="dxa"/>
            <w:noWrap/>
            <w:vAlign w:val="center"/>
          </w:tcPr>
          <w:p>
            <w:pPr>
              <w:pStyle w:val="21"/>
              <w:spacing w:line="300" w:lineRule="exact"/>
              <w:rPr>
                <w:rFonts w:eastAsia="方正仿宋_GBK"/>
                <w:sz w:val="24"/>
              </w:rPr>
            </w:pPr>
            <w:r>
              <w:rPr>
                <w:sz w:val="24"/>
              </w:rPr>
              <w:t xml:space="preserve">127.30 </w:t>
            </w:r>
          </w:p>
        </w:tc>
        <w:tc>
          <w:tcPr>
            <w:tcW w:w="1323" w:type="dxa"/>
            <w:noWrap/>
            <w:vAlign w:val="center"/>
          </w:tcPr>
          <w:p>
            <w:pPr>
              <w:pStyle w:val="21"/>
              <w:spacing w:line="300" w:lineRule="exact"/>
              <w:rPr>
                <w:rFonts w:eastAsia="方正仿宋_GBK"/>
                <w:sz w:val="24"/>
              </w:rPr>
            </w:pPr>
            <w:r>
              <w:rPr>
                <w:sz w:val="24"/>
              </w:rPr>
              <w:t xml:space="preserve">6.39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夏坝镇</w:t>
            </w:r>
          </w:p>
        </w:tc>
        <w:tc>
          <w:tcPr>
            <w:tcW w:w="1467" w:type="dxa"/>
            <w:noWrap/>
            <w:vAlign w:val="center"/>
          </w:tcPr>
          <w:p>
            <w:pPr>
              <w:pStyle w:val="21"/>
              <w:spacing w:line="300" w:lineRule="exact"/>
              <w:rPr>
                <w:rFonts w:eastAsia="方正仿宋_GBK"/>
                <w:sz w:val="24"/>
              </w:rPr>
            </w:pPr>
            <w:r>
              <w:rPr>
                <w:sz w:val="24"/>
              </w:rPr>
              <w:t xml:space="preserve">2.93 </w:t>
            </w:r>
          </w:p>
        </w:tc>
        <w:tc>
          <w:tcPr>
            <w:tcW w:w="1378" w:type="dxa"/>
            <w:noWrap/>
            <w:vAlign w:val="center"/>
          </w:tcPr>
          <w:p>
            <w:pPr>
              <w:pStyle w:val="21"/>
              <w:spacing w:line="300" w:lineRule="exact"/>
              <w:rPr>
                <w:rFonts w:eastAsia="方正仿宋_GBK"/>
                <w:sz w:val="24"/>
              </w:rPr>
            </w:pPr>
            <w:r>
              <w:rPr>
                <w:sz w:val="24"/>
              </w:rPr>
              <w:t xml:space="preserve">0.35 </w:t>
            </w:r>
          </w:p>
        </w:tc>
        <w:tc>
          <w:tcPr>
            <w:tcW w:w="1205" w:type="dxa"/>
            <w:noWrap/>
            <w:vAlign w:val="center"/>
          </w:tcPr>
          <w:p>
            <w:pPr>
              <w:pStyle w:val="21"/>
              <w:spacing w:line="300" w:lineRule="exact"/>
              <w:rPr>
                <w:rFonts w:eastAsia="方正仿宋_GBK"/>
                <w:sz w:val="24"/>
              </w:rPr>
            </w:pPr>
            <w:r>
              <w:rPr>
                <w:sz w:val="24"/>
              </w:rPr>
              <w:t xml:space="preserve">4.85 </w:t>
            </w:r>
          </w:p>
        </w:tc>
        <w:tc>
          <w:tcPr>
            <w:tcW w:w="1346" w:type="dxa"/>
            <w:noWrap/>
            <w:vAlign w:val="center"/>
          </w:tcPr>
          <w:p>
            <w:pPr>
              <w:pStyle w:val="21"/>
              <w:spacing w:line="300" w:lineRule="exact"/>
              <w:rPr>
                <w:rFonts w:eastAsia="方正仿宋_GBK"/>
                <w:sz w:val="24"/>
              </w:rPr>
            </w:pPr>
            <w:r>
              <w:rPr>
                <w:sz w:val="24"/>
              </w:rPr>
              <w:t xml:space="preserve">1.27 </w:t>
            </w:r>
          </w:p>
        </w:tc>
        <w:tc>
          <w:tcPr>
            <w:tcW w:w="1238" w:type="dxa"/>
            <w:noWrap/>
            <w:vAlign w:val="center"/>
          </w:tcPr>
          <w:p>
            <w:pPr>
              <w:pStyle w:val="21"/>
              <w:spacing w:line="300" w:lineRule="exact"/>
              <w:rPr>
                <w:rFonts w:eastAsia="方正仿宋_GBK"/>
                <w:sz w:val="24"/>
              </w:rPr>
            </w:pPr>
            <w:r>
              <w:rPr>
                <w:sz w:val="24"/>
              </w:rPr>
              <w:t xml:space="preserve">29.34 </w:t>
            </w:r>
          </w:p>
        </w:tc>
        <w:tc>
          <w:tcPr>
            <w:tcW w:w="1323" w:type="dxa"/>
            <w:noWrap/>
            <w:vAlign w:val="center"/>
          </w:tcPr>
          <w:p>
            <w:pPr>
              <w:pStyle w:val="21"/>
              <w:spacing w:line="300" w:lineRule="exact"/>
              <w:rPr>
                <w:rFonts w:eastAsia="方正仿宋_GBK"/>
                <w:sz w:val="24"/>
              </w:rPr>
            </w:pPr>
            <w:r>
              <w:rPr>
                <w:sz w:val="24"/>
              </w:rPr>
              <w:t xml:space="preserve">1.47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先锋镇</w:t>
            </w:r>
          </w:p>
        </w:tc>
        <w:tc>
          <w:tcPr>
            <w:tcW w:w="1467" w:type="dxa"/>
            <w:noWrap/>
            <w:vAlign w:val="center"/>
          </w:tcPr>
          <w:p>
            <w:pPr>
              <w:pStyle w:val="21"/>
              <w:spacing w:line="300" w:lineRule="exact"/>
              <w:rPr>
                <w:rFonts w:eastAsia="方正仿宋_GBK"/>
                <w:sz w:val="24"/>
              </w:rPr>
            </w:pPr>
            <w:r>
              <w:rPr>
                <w:sz w:val="24"/>
              </w:rPr>
              <w:t xml:space="preserve">15.42 </w:t>
            </w:r>
          </w:p>
        </w:tc>
        <w:tc>
          <w:tcPr>
            <w:tcW w:w="1378" w:type="dxa"/>
            <w:noWrap/>
            <w:vAlign w:val="center"/>
          </w:tcPr>
          <w:p>
            <w:pPr>
              <w:pStyle w:val="21"/>
              <w:spacing w:line="300" w:lineRule="exact"/>
              <w:rPr>
                <w:rFonts w:eastAsia="方正仿宋_GBK"/>
                <w:sz w:val="24"/>
              </w:rPr>
            </w:pPr>
            <w:r>
              <w:rPr>
                <w:sz w:val="24"/>
              </w:rPr>
              <w:t xml:space="preserve">1.82 </w:t>
            </w:r>
          </w:p>
        </w:tc>
        <w:tc>
          <w:tcPr>
            <w:tcW w:w="1205" w:type="dxa"/>
            <w:noWrap/>
            <w:vAlign w:val="center"/>
          </w:tcPr>
          <w:p>
            <w:pPr>
              <w:pStyle w:val="21"/>
              <w:spacing w:line="300" w:lineRule="exact"/>
              <w:rPr>
                <w:rFonts w:eastAsia="方正仿宋_GBK"/>
                <w:sz w:val="24"/>
              </w:rPr>
            </w:pPr>
            <w:r>
              <w:rPr>
                <w:sz w:val="24"/>
              </w:rPr>
              <w:t xml:space="preserve">4.07 </w:t>
            </w:r>
          </w:p>
        </w:tc>
        <w:tc>
          <w:tcPr>
            <w:tcW w:w="1346" w:type="dxa"/>
            <w:noWrap/>
            <w:vAlign w:val="center"/>
          </w:tcPr>
          <w:p>
            <w:pPr>
              <w:pStyle w:val="21"/>
              <w:spacing w:line="300" w:lineRule="exact"/>
              <w:rPr>
                <w:rFonts w:eastAsia="方正仿宋_GBK"/>
                <w:sz w:val="24"/>
              </w:rPr>
            </w:pPr>
            <w:r>
              <w:rPr>
                <w:sz w:val="24"/>
              </w:rPr>
              <w:t xml:space="preserve">1.07 </w:t>
            </w:r>
          </w:p>
        </w:tc>
        <w:tc>
          <w:tcPr>
            <w:tcW w:w="1238" w:type="dxa"/>
            <w:noWrap/>
            <w:vAlign w:val="center"/>
          </w:tcPr>
          <w:p>
            <w:pPr>
              <w:pStyle w:val="21"/>
              <w:spacing w:line="300" w:lineRule="exact"/>
              <w:rPr>
                <w:rFonts w:eastAsia="方正仿宋_GBK"/>
                <w:sz w:val="24"/>
              </w:rPr>
            </w:pPr>
            <w:r>
              <w:rPr>
                <w:sz w:val="24"/>
              </w:rPr>
              <w:t xml:space="preserve">107.19 </w:t>
            </w:r>
          </w:p>
        </w:tc>
        <w:tc>
          <w:tcPr>
            <w:tcW w:w="1323" w:type="dxa"/>
            <w:noWrap/>
            <w:vAlign w:val="center"/>
          </w:tcPr>
          <w:p>
            <w:pPr>
              <w:pStyle w:val="21"/>
              <w:spacing w:line="300" w:lineRule="exact"/>
              <w:rPr>
                <w:rFonts w:eastAsia="方正仿宋_GBK"/>
                <w:sz w:val="24"/>
              </w:rPr>
            </w:pPr>
            <w:r>
              <w:rPr>
                <w:sz w:val="24"/>
              </w:rPr>
              <w:t xml:space="preserve">5.38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永兴镇</w:t>
            </w:r>
          </w:p>
        </w:tc>
        <w:tc>
          <w:tcPr>
            <w:tcW w:w="1467" w:type="dxa"/>
            <w:noWrap/>
            <w:vAlign w:val="center"/>
          </w:tcPr>
          <w:p>
            <w:pPr>
              <w:pStyle w:val="21"/>
              <w:spacing w:line="300" w:lineRule="exact"/>
              <w:rPr>
                <w:rFonts w:eastAsia="方正仿宋_GBK"/>
                <w:sz w:val="24"/>
              </w:rPr>
            </w:pPr>
            <w:r>
              <w:rPr>
                <w:sz w:val="24"/>
              </w:rPr>
              <w:t xml:space="preserve">35.98 </w:t>
            </w:r>
          </w:p>
        </w:tc>
        <w:tc>
          <w:tcPr>
            <w:tcW w:w="1378" w:type="dxa"/>
            <w:noWrap/>
            <w:vAlign w:val="center"/>
          </w:tcPr>
          <w:p>
            <w:pPr>
              <w:pStyle w:val="21"/>
              <w:spacing w:line="300" w:lineRule="exact"/>
              <w:rPr>
                <w:rFonts w:eastAsia="方正仿宋_GBK"/>
                <w:sz w:val="24"/>
              </w:rPr>
            </w:pPr>
            <w:r>
              <w:rPr>
                <w:sz w:val="24"/>
              </w:rPr>
              <w:t xml:space="preserve">4.25 </w:t>
            </w:r>
          </w:p>
        </w:tc>
        <w:tc>
          <w:tcPr>
            <w:tcW w:w="1205" w:type="dxa"/>
            <w:noWrap/>
            <w:vAlign w:val="center"/>
          </w:tcPr>
          <w:p>
            <w:pPr>
              <w:pStyle w:val="21"/>
              <w:spacing w:line="300" w:lineRule="exact"/>
              <w:rPr>
                <w:rFonts w:eastAsia="方正仿宋_GBK"/>
                <w:sz w:val="24"/>
              </w:rPr>
            </w:pPr>
            <w:r>
              <w:rPr>
                <w:sz w:val="24"/>
              </w:rPr>
              <w:t xml:space="preserve">16.84 </w:t>
            </w:r>
          </w:p>
        </w:tc>
        <w:tc>
          <w:tcPr>
            <w:tcW w:w="1346" w:type="dxa"/>
            <w:noWrap/>
            <w:vAlign w:val="center"/>
          </w:tcPr>
          <w:p>
            <w:pPr>
              <w:pStyle w:val="21"/>
              <w:spacing w:line="300" w:lineRule="exact"/>
              <w:rPr>
                <w:rFonts w:eastAsia="方正仿宋_GBK"/>
                <w:sz w:val="24"/>
              </w:rPr>
            </w:pPr>
            <w:r>
              <w:rPr>
                <w:sz w:val="24"/>
              </w:rPr>
              <w:t xml:space="preserve">4.42 </w:t>
            </w:r>
          </w:p>
        </w:tc>
        <w:tc>
          <w:tcPr>
            <w:tcW w:w="1238" w:type="dxa"/>
            <w:noWrap/>
            <w:vAlign w:val="center"/>
          </w:tcPr>
          <w:p>
            <w:pPr>
              <w:pStyle w:val="21"/>
              <w:spacing w:line="300" w:lineRule="exact"/>
              <w:rPr>
                <w:rFonts w:eastAsia="方正仿宋_GBK"/>
                <w:sz w:val="24"/>
              </w:rPr>
            </w:pPr>
            <w:r>
              <w:rPr>
                <w:sz w:val="24"/>
              </w:rPr>
              <w:t xml:space="preserve">88.80 </w:t>
            </w:r>
          </w:p>
        </w:tc>
        <w:tc>
          <w:tcPr>
            <w:tcW w:w="1323" w:type="dxa"/>
            <w:noWrap/>
            <w:vAlign w:val="center"/>
          </w:tcPr>
          <w:p>
            <w:pPr>
              <w:pStyle w:val="21"/>
              <w:spacing w:line="300" w:lineRule="exact"/>
              <w:rPr>
                <w:rFonts w:eastAsia="方正仿宋_GBK"/>
                <w:sz w:val="24"/>
              </w:rPr>
            </w:pPr>
            <w:r>
              <w:rPr>
                <w:sz w:val="24"/>
              </w:rPr>
              <w:t xml:space="preserve">4.46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油溪镇</w:t>
            </w:r>
          </w:p>
        </w:tc>
        <w:tc>
          <w:tcPr>
            <w:tcW w:w="1467" w:type="dxa"/>
            <w:noWrap/>
            <w:vAlign w:val="center"/>
          </w:tcPr>
          <w:p>
            <w:pPr>
              <w:pStyle w:val="21"/>
              <w:spacing w:line="300" w:lineRule="exact"/>
              <w:rPr>
                <w:rFonts w:eastAsia="方正仿宋_GBK"/>
                <w:sz w:val="24"/>
              </w:rPr>
            </w:pPr>
            <w:r>
              <w:rPr>
                <w:sz w:val="24"/>
              </w:rPr>
              <w:t xml:space="preserve">23.77 </w:t>
            </w:r>
          </w:p>
        </w:tc>
        <w:tc>
          <w:tcPr>
            <w:tcW w:w="1378" w:type="dxa"/>
            <w:noWrap/>
            <w:vAlign w:val="center"/>
          </w:tcPr>
          <w:p>
            <w:pPr>
              <w:pStyle w:val="21"/>
              <w:spacing w:line="300" w:lineRule="exact"/>
              <w:rPr>
                <w:rFonts w:eastAsia="方正仿宋_GBK"/>
                <w:sz w:val="24"/>
              </w:rPr>
            </w:pPr>
            <w:r>
              <w:rPr>
                <w:sz w:val="24"/>
              </w:rPr>
              <w:t xml:space="preserve">2.81 </w:t>
            </w:r>
          </w:p>
        </w:tc>
        <w:tc>
          <w:tcPr>
            <w:tcW w:w="1205" w:type="dxa"/>
            <w:noWrap/>
            <w:vAlign w:val="center"/>
          </w:tcPr>
          <w:p>
            <w:pPr>
              <w:pStyle w:val="21"/>
              <w:spacing w:line="300" w:lineRule="exact"/>
              <w:rPr>
                <w:rFonts w:eastAsia="方正仿宋_GBK"/>
                <w:sz w:val="24"/>
              </w:rPr>
            </w:pPr>
            <w:r>
              <w:rPr>
                <w:sz w:val="24"/>
              </w:rPr>
              <w:t xml:space="preserve">11.58 </w:t>
            </w:r>
          </w:p>
        </w:tc>
        <w:tc>
          <w:tcPr>
            <w:tcW w:w="1346" w:type="dxa"/>
            <w:noWrap/>
            <w:vAlign w:val="center"/>
          </w:tcPr>
          <w:p>
            <w:pPr>
              <w:pStyle w:val="21"/>
              <w:spacing w:line="300" w:lineRule="exact"/>
              <w:rPr>
                <w:rFonts w:eastAsia="方正仿宋_GBK"/>
                <w:sz w:val="24"/>
              </w:rPr>
            </w:pPr>
            <w:r>
              <w:rPr>
                <w:sz w:val="24"/>
              </w:rPr>
              <w:t xml:space="preserve">3.04 </w:t>
            </w:r>
          </w:p>
        </w:tc>
        <w:tc>
          <w:tcPr>
            <w:tcW w:w="1238" w:type="dxa"/>
            <w:noWrap/>
            <w:vAlign w:val="center"/>
          </w:tcPr>
          <w:p>
            <w:pPr>
              <w:pStyle w:val="21"/>
              <w:spacing w:line="300" w:lineRule="exact"/>
              <w:rPr>
                <w:rFonts w:eastAsia="方正仿宋_GBK"/>
                <w:sz w:val="24"/>
              </w:rPr>
            </w:pPr>
            <w:r>
              <w:rPr>
                <w:sz w:val="24"/>
              </w:rPr>
              <w:t xml:space="preserve">118.31 </w:t>
            </w:r>
          </w:p>
        </w:tc>
        <w:tc>
          <w:tcPr>
            <w:tcW w:w="1323" w:type="dxa"/>
            <w:noWrap/>
            <w:vAlign w:val="center"/>
          </w:tcPr>
          <w:p>
            <w:pPr>
              <w:pStyle w:val="21"/>
              <w:spacing w:line="300" w:lineRule="exact"/>
              <w:rPr>
                <w:rFonts w:eastAsia="方正仿宋_GBK"/>
                <w:sz w:val="24"/>
              </w:rPr>
            </w:pPr>
            <w:r>
              <w:rPr>
                <w:sz w:val="24"/>
              </w:rPr>
              <w:t xml:space="preserve">5.94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支坪镇</w:t>
            </w:r>
          </w:p>
        </w:tc>
        <w:tc>
          <w:tcPr>
            <w:tcW w:w="1467" w:type="dxa"/>
            <w:noWrap/>
            <w:vAlign w:val="center"/>
          </w:tcPr>
          <w:p>
            <w:pPr>
              <w:pStyle w:val="21"/>
              <w:spacing w:line="300" w:lineRule="exact"/>
              <w:rPr>
                <w:rFonts w:eastAsia="方正仿宋_GBK"/>
                <w:sz w:val="24"/>
              </w:rPr>
            </w:pPr>
            <w:r>
              <w:rPr>
                <w:sz w:val="24"/>
              </w:rPr>
              <w:t xml:space="preserve">34.35 </w:t>
            </w:r>
          </w:p>
        </w:tc>
        <w:tc>
          <w:tcPr>
            <w:tcW w:w="1378" w:type="dxa"/>
            <w:noWrap/>
            <w:vAlign w:val="center"/>
          </w:tcPr>
          <w:p>
            <w:pPr>
              <w:pStyle w:val="21"/>
              <w:spacing w:line="300" w:lineRule="exact"/>
              <w:rPr>
                <w:rFonts w:eastAsia="方正仿宋_GBK"/>
                <w:sz w:val="24"/>
              </w:rPr>
            </w:pPr>
            <w:r>
              <w:rPr>
                <w:sz w:val="24"/>
              </w:rPr>
              <w:t xml:space="preserve">4.06 </w:t>
            </w:r>
          </w:p>
        </w:tc>
        <w:tc>
          <w:tcPr>
            <w:tcW w:w="1205" w:type="dxa"/>
            <w:noWrap/>
            <w:vAlign w:val="center"/>
          </w:tcPr>
          <w:p>
            <w:pPr>
              <w:pStyle w:val="21"/>
              <w:spacing w:line="300" w:lineRule="exact"/>
              <w:rPr>
                <w:rFonts w:eastAsia="方正仿宋_GBK"/>
                <w:sz w:val="24"/>
              </w:rPr>
            </w:pPr>
            <w:r>
              <w:rPr>
                <w:sz w:val="24"/>
              </w:rPr>
              <w:t xml:space="preserve">18.02 </w:t>
            </w:r>
          </w:p>
        </w:tc>
        <w:tc>
          <w:tcPr>
            <w:tcW w:w="1346" w:type="dxa"/>
            <w:noWrap/>
            <w:vAlign w:val="center"/>
          </w:tcPr>
          <w:p>
            <w:pPr>
              <w:pStyle w:val="21"/>
              <w:spacing w:line="300" w:lineRule="exact"/>
              <w:rPr>
                <w:rFonts w:eastAsia="方正仿宋_GBK"/>
                <w:sz w:val="24"/>
              </w:rPr>
            </w:pPr>
            <w:r>
              <w:rPr>
                <w:sz w:val="24"/>
              </w:rPr>
              <w:t xml:space="preserve">4.73 </w:t>
            </w:r>
          </w:p>
        </w:tc>
        <w:tc>
          <w:tcPr>
            <w:tcW w:w="1238" w:type="dxa"/>
            <w:noWrap/>
            <w:vAlign w:val="center"/>
          </w:tcPr>
          <w:p>
            <w:pPr>
              <w:pStyle w:val="21"/>
              <w:spacing w:line="300" w:lineRule="exact"/>
              <w:rPr>
                <w:rFonts w:eastAsia="方正仿宋_GBK"/>
                <w:sz w:val="24"/>
              </w:rPr>
            </w:pPr>
            <w:r>
              <w:rPr>
                <w:sz w:val="24"/>
              </w:rPr>
              <w:t xml:space="preserve">29.34 </w:t>
            </w:r>
          </w:p>
        </w:tc>
        <w:tc>
          <w:tcPr>
            <w:tcW w:w="1323" w:type="dxa"/>
            <w:noWrap/>
            <w:vAlign w:val="center"/>
          </w:tcPr>
          <w:p>
            <w:pPr>
              <w:pStyle w:val="21"/>
              <w:spacing w:line="300" w:lineRule="exact"/>
              <w:rPr>
                <w:rFonts w:eastAsia="方正仿宋_GBK"/>
                <w:sz w:val="24"/>
              </w:rPr>
            </w:pPr>
            <w:r>
              <w:rPr>
                <w:sz w:val="24"/>
              </w:rPr>
              <w:t xml:space="preserve">1.47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中山镇</w:t>
            </w:r>
          </w:p>
        </w:tc>
        <w:tc>
          <w:tcPr>
            <w:tcW w:w="1467" w:type="dxa"/>
            <w:noWrap/>
            <w:vAlign w:val="center"/>
          </w:tcPr>
          <w:p>
            <w:pPr>
              <w:pStyle w:val="21"/>
              <w:spacing w:line="300" w:lineRule="exact"/>
              <w:rPr>
                <w:rFonts w:eastAsia="方正仿宋_GBK"/>
                <w:sz w:val="24"/>
              </w:rPr>
            </w:pPr>
            <w:r>
              <w:rPr>
                <w:sz w:val="24"/>
              </w:rPr>
              <w:t xml:space="preserve">22.00 </w:t>
            </w:r>
          </w:p>
        </w:tc>
        <w:tc>
          <w:tcPr>
            <w:tcW w:w="1378" w:type="dxa"/>
            <w:noWrap/>
            <w:vAlign w:val="center"/>
          </w:tcPr>
          <w:p>
            <w:pPr>
              <w:pStyle w:val="21"/>
              <w:spacing w:line="300" w:lineRule="exact"/>
              <w:rPr>
                <w:rFonts w:eastAsia="方正仿宋_GBK"/>
                <w:sz w:val="24"/>
              </w:rPr>
            </w:pPr>
            <w:r>
              <w:rPr>
                <w:sz w:val="24"/>
              </w:rPr>
              <w:t xml:space="preserve">2.60 </w:t>
            </w:r>
          </w:p>
        </w:tc>
        <w:tc>
          <w:tcPr>
            <w:tcW w:w="1205" w:type="dxa"/>
            <w:noWrap/>
            <w:vAlign w:val="center"/>
          </w:tcPr>
          <w:p>
            <w:pPr>
              <w:pStyle w:val="21"/>
              <w:spacing w:line="300" w:lineRule="exact"/>
              <w:rPr>
                <w:rFonts w:eastAsia="方正仿宋_GBK"/>
                <w:sz w:val="24"/>
              </w:rPr>
            </w:pPr>
            <w:r>
              <w:rPr>
                <w:sz w:val="24"/>
              </w:rPr>
              <w:t xml:space="preserve">10.81 </w:t>
            </w:r>
          </w:p>
        </w:tc>
        <w:tc>
          <w:tcPr>
            <w:tcW w:w="1346" w:type="dxa"/>
            <w:noWrap/>
            <w:vAlign w:val="center"/>
          </w:tcPr>
          <w:p>
            <w:pPr>
              <w:pStyle w:val="21"/>
              <w:spacing w:line="300" w:lineRule="exact"/>
              <w:rPr>
                <w:rFonts w:eastAsia="方正仿宋_GBK"/>
                <w:sz w:val="24"/>
              </w:rPr>
            </w:pPr>
            <w:r>
              <w:rPr>
                <w:sz w:val="24"/>
              </w:rPr>
              <w:t xml:space="preserve">2.84 </w:t>
            </w:r>
          </w:p>
        </w:tc>
        <w:tc>
          <w:tcPr>
            <w:tcW w:w="1238" w:type="dxa"/>
            <w:noWrap/>
            <w:vAlign w:val="center"/>
          </w:tcPr>
          <w:p>
            <w:pPr>
              <w:pStyle w:val="21"/>
              <w:spacing w:line="300" w:lineRule="exact"/>
              <w:rPr>
                <w:rFonts w:eastAsia="方正仿宋_GBK"/>
                <w:sz w:val="24"/>
              </w:rPr>
            </w:pPr>
            <w:r>
              <w:rPr>
                <w:sz w:val="24"/>
              </w:rPr>
              <w:t xml:space="preserve">117.28 </w:t>
            </w:r>
          </w:p>
        </w:tc>
        <w:tc>
          <w:tcPr>
            <w:tcW w:w="1323" w:type="dxa"/>
            <w:noWrap/>
            <w:vAlign w:val="center"/>
          </w:tcPr>
          <w:p>
            <w:pPr>
              <w:pStyle w:val="21"/>
              <w:spacing w:line="300" w:lineRule="exact"/>
              <w:rPr>
                <w:rFonts w:eastAsia="方正仿宋_GBK"/>
                <w:sz w:val="24"/>
              </w:rPr>
            </w:pPr>
            <w:r>
              <w:rPr>
                <w:sz w:val="24"/>
              </w:rPr>
              <w:t xml:space="preserve">5.89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朱杨镇</w:t>
            </w:r>
          </w:p>
        </w:tc>
        <w:tc>
          <w:tcPr>
            <w:tcW w:w="1467" w:type="dxa"/>
            <w:noWrap/>
            <w:vAlign w:val="center"/>
          </w:tcPr>
          <w:p>
            <w:pPr>
              <w:pStyle w:val="21"/>
              <w:spacing w:line="300" w:lineRule="exact"/>
              <w:rPr>
                <w:rFonts w:eastAsia="方正仿宋_GBK"/>
                <w:sz w:val="24"/>
              </w:rPr>
            </w:pPr>
            <w:r>
              <w:rPr>
                <w:sz w:val="24"/>
              </w:rPr>
              <w:t xml:space="preserve">7.85 </w:t>
            </w:r>
          </w:p>
        </w:tc>
        <w:tc>
          <w:tcPr>
            <w:tcW w:w="1378" w:type="dxa"/>
            <w:noWrap/>
            <w:vAlign w:val="center"/>
          </w:tcPr>
          <w:p>
            <w:pPr>
              <w:pStyle w:val="21"/>
              <w:spacing w:line="300" w:lineRule="exact"/>
              <w:rPr>
                <w:rFonts w:eastAsia="方正仿宋_GBK"/>
                <w:sz w:val="24"/>
              </w:rPr>
            </w:pPr>
            <w:r>
              <w:rPr>
                <w:sz w:val="24"/>
              </w:rPr>
              <w:t xml:space="preserve">0.93 </w:t>
            </w:r>
          </w:p>
        </w:tc>
        <w:tc>
          <w:tcPr>
            <w:tcW w:w="1205" w:type="dxa"/>
            <w:noWrap/>
            <w:vAlign w:val="center"/>
          </w:tcPr>
          <w:p>
            <w:pPr>
              <w:pStyle w:val="21"/>
              <w:spacing w:line="300" w:lineRule="exact"/>
              <w:rPr>
                <w:rFonts w:eastAsia="方正仿宋_GBK"/>
                <w:sz w:val="24"/>
              </w:rPr>
            </w:pPr>
            <w:r>
              <w:rPr>
                <w:sz w:val="24"/>
              </w:rPr>
              <w:t xml:space="preserve">10.86 </w:t>
            </w:r>
          </w:p>
        </w:tc>
        <w:tc>
          <w:tcPr>
            <w:tcW w:w="1346" w:type="dxa"/>
            <w:noWrap/>
            <w:vAlign w:val="center"/>
          </w:tcPr>
          <w:p>
            <w:pPr>
              <w:pStyle w:val="21"/>
              <w:spacing w:line="300" w:lineRule="exact"/>
              <w:rPr>
                <w:rFonts w:eastAsia="方正仿宋_GBK"/>
                <w:sz w:val="24"/>
              </w:rPr>
            </w:pPr>
            <w:r>
              <w:rPr>
                <w:sz w:val="24"/>
              </w:rPr>
              <w:t xml:space="preserve">2.85 </w:t>
            </w:r>
          </w:p>
        </w:tc>
        <w:tc>
          <w:tcPr>
            <w:tcW w:w="1238" w:type="dxa"/>
            <w:noWrap/>
            <w:vAlign w:val="center"/>
          </w:tcPr>
          <w:p>
            <w:pPr>
              <w:pStyle w:val="21"/>
              <w:spacing w:line="300" w:lineRule="exact"/>
              <w:rPr>
                <w:rFonts w:eastAsia="方正仿宋_GBK"/>
                <w:sz w:val="24"/>
              </w:rPr>
            </w:pPr>
            <w:r>
              <w:rPr>
                <w:sz w:val="24"/>
              </w:rPr>
              <w:t xml:space="preserve">39.32 </w:t>
            </w:r>
          </w:p>
        </w:tc>
        <w:tc>
          <w:tcPr>
            <w:tcW w:w="1323" w:type="dxa"/>
            <w:noWrap/>
            <w:vAlign w:val="center"/>
          </w:tcPr>
          <w:p>
            <w:pPr>
              <w:pStyle w:val="21"/>
              <w:spacing w:line="300" w:lineRule="exact"/>
              <w:rPr>
                <w:rFonts w:eastAsia="方正仿宋_GBK"/>
                <w:sz w:val="24"/>
              </w:rPr>
            </w:pPr>
            <w:r>
              <w:rPr>
                <w:sz w:val="24"/>
              </w:rPr>
              <w:t xml:space="preserve">1.97 </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3" w:type="dxa"/>
            <w:noWrap/>
            <w:vAlign w:val="center"/>
          </w:tcPr>
          <w:p>
            <w:pPr>
              <w:pStyle w:val="21"/>
              <w:spacing w:line="300" w:lineRule="exact"/>
              <w:rPr>
                <w:rFonts w:eastAsia="方正仿宋_GBK"/>
                <w:sz w:val="24"/>
              </w:rPr>
            </w:pPr>
            <w:r>
              <w:rPr>
                <w:rFonts w:hint="eastAsia" w:ascii="方正仿宋_GBK" w:hAnsi="Arial" w:eastAsia="方正仿宋_GBK" w:cs="Arial"/>
                <w:sz w:val="24"/>
              </w:rPr>
              <w:t>总计</w:t>
            </w:r>
          </w:p>
        </w:tc>
        <w:tc>
          <w:tcPr>
            <w:tcW w:w="1467" w:type="dxa"/>
            <w:noWrap/>
            <w:vAlign w:val="center"/>
          </w:tcPr>
          <w:p>
            <w:pPr>
              <w:pStyle w:val="21"/>
              <w:spacing w:line="300" w:lineRule="exact"/>
              <w:rPr>
                <w:rFonts w:eastAsia="方正仿宋_GBK"/>
                <w:sz w:val="24"/>
              </w:rPr>
            </w:pPr>
            <w:r>
              <w:rPr>
                <w:sz w:val="24"/>
              </w:rPr>
              <w:t xml:space="preserve">845.97 </w:t>
            </w:r>
          </w:p>
        </w:tc>
        <w:tc>
          <w:tcPr>
            <w:tcW w:w="1378" w:type="dxa"/>
            <w:noWrap/>
            <w:vAlign w:val="center"/>
          </w:tcPr>
          <w:p>
            <w:pPr>
              <w:pStyle w:val="21"/>
              <w:spacing w:line="300" w:lineRule="exact"/>
              <w:rPr>
                <w:rFonts w:eastAsia="方正仿宋_GBK"/>
                <w:sz w:val="24"/>
              </w:rPr>
            </w:pPr>
            <w:r>
              <w:rPr>
                <w:sz w:val="24"/>
              </w:rPr>
              <w:t xml:space="preserve">100.00 </w:t>
            </w:r>
          </w:p>
        </w:tc>
        <w:tc>
          <w:tcPr>
            <w:tcW w:w="1205" w:type="dxa"/>
            <w:noWrap/>
            <w:vAlign w:val="center"/>
          </w:tcPr>
          <w:p>
            <w:pPr>
              <w:pStyle w:val="21"/>
              <w:spacing w:line="300" w:lineRule="exact"/>
              <w:rPr>
                <w:rFonts w:eastAsia="方正仿宋_GBK"/>
                <w:sz w:val="24"/>
              </w:rPr>
            </w:pPr>
            <w:r>
              <w:rPr>
                <w:sz w:val="24"/>
              </w:rPr>
              <w:t xml:space="preserve">380.93 </w:t>
            </w:r>
          </w:p>
        </w:tc>
        <w:tc>
          <w:tcPr>
            <w:tcW w:w="1346" w:type="dxa"/>
            <w:noWrap/>
            <w:vAlign w:val="center"/>
          </w:tcPr>
          <w:p>
            <w:pPr>
              <w:pStyle w:val="21"/>
              <w:spacing w:line="300" w:lineRule="exact"/>
              <w:rPr>
                <w:rFonts w:eastAsia="方正仿宋_GBK"/>
                <w:sz w:val="24"/>
              </w:rPr>
            </w:pPr>
            <w:r>
              <w:rPr>
                <w:sz w:val="24"/>
              </w:rPr>
              <w:t xml:space="preserve">100.00 </w:t>
            </w:r>
          </w:p>
        </w:tc>
        <w:tc>
          <w:tcPr>
            <w:tcW w:w="1238" w:type="dxa"/>
            <w:noWrap/>
            <w:vAlign w:val="center"/>
          </w:tcPr>
          <w:p>
            <w:pPr>
              <w:pStyle w:val="21"/>
              <w:spacing w:line="300" w:lineRule="exact"/>
              <w:rPr>
                <w:rFonts w:eastAsia="方正仿宋_GBK"/>
                <w:sz w:val="24"/>
              </w:rPr>
            </w:pPr>
            <w:r>
              <w:rPr>
                <w:sz w:val="24"/>
              </w:rPr>
              <w:t xml:space="preserve">1992.15 </w:t>
            </w:r>
          </w:p>
        </w:tc>
        <w:tc>
          <w:tcPr>
            <w:tcW w:w="1323" w:type="dxa"/>
            <w:noWrap/>
            <w:vAlign w:val="center"/>
          </w:tcPr>
          <w:p>
            <w:pPr>
              <w:pStyle w:val="21"/>
              <w:spacing w:line="300" w:lineRule="exact"/>
              <w:rPr>
                <w:rFonts w:eastAsia="方正仿宋_GBK"/>
                <w:sz w:val="24"/>
              </w:rPr>
            </w:pPr>
            <w:r>
              <w:rPr>
                <w:sz w:val="24"/>
              </w:rPr>
              <w:t xml:space="preserve">100.00 </w:t>
            </w:r>
          </w:p>
        </w:tc>
      </w:tr>
      <w:bookmarkEnd w:id="12"/>
    </w:tbl>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59264" behindDoc="0" locked="0" layoutInCell="1" allowOverlap="1">
            <wp:simplePos x="0" y="0"/>
            <wp:positionH relativeFrom="column">
              <wp:posOffset>-244475</wp:posOffset>
            </wp:positionH>
            <wp:positionV relativeFrom="paragraph">
              <wp:posOffset>360680</wp:posOffset>
            </wp:positionV>
            <wp:extent cx="6147435" cy="2869565"/>
            <wp:effectExtent l="0" t="0" r="5715" b="698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图</w:t>
      </w:r>
      <w:r>
        <w:rPr>
          <w:rFonts w:eastAsia="方正黑体_GBK"/>
          <w:sz w:val="28"/>
          <w:szCs w:val="28"/>
        </w:rPr>
        <w:t xml:space="preserve">2-1  </w:t>
      </w:r>
      <w:r>
        <w:rPr>
          <w:rFonts w:hint="eastAsia" w:eastAsia="方正黑体_GBK"/>
          <w:sz w:val="28"/>
          <w:szCs w:val="28"/>
        </w:rPr>
        <w:t>江津区畜禽养殖“三区”分布现状对比图</w:t>
      </w:r>
    </w:p>
    <w:p>
      <w:pPr>
        <w:tabs>
          <w:tab w:val="left" w:pos="1580"/>
        </w:tabs>
        <w:spacing w:line="560" w:lineRule="exact"/>
        <w:ind w:firstLine="0" w:firstLineChars="0"/>
        <w:jc w:val="center"/>
        <w:rPr>
          <w:rFonts w:eastAsia="方正黑体_GBK"/>
          <w:sz w:val="28"/>
          <w:szCs w:val="28"/>
        </w:r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2</w:t>
      </w:r>
      <w:r>
        <w:rPr>
          <w:rFonts w:hint="eastAsia" w:eastAsia="方正黑体_GBK"/>
          <w:sz w:val="28"/>
          <w:szCs w:val="28"/>
        </w:rPr>
        <w:t>-</w:t>
      </w:r>
      <w:r>
        <w:rPr>
          <w:rFonts w:eastAsia="方正黑体_GBK"/>
          <w:sz w:val="28"/>
          <w:szCs w:val="28"/>
        </w:rPr>
        <w:t xml:space="preserve">8  </w:t>
      </w:r>
      <w:r>
        <w:rPr>
          <w:rFonts w:hint="eastAsia" w:eastAsia="方正黑体_GBK"/>
          <w:sz w:val="28"/>
          <w:szCs w:val="28"/>
        </w:rPr>
        <w:t>江津区限养区养殖数量分布表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632"/>
        <w:gridCol w:w="2848"/>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blHeader/>
        </w:trPr>
        <w:tc>
          <w:tcPr>
            <w:tcW w:w="800" w:type="pct"/>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镇街</w:t>
            </w:r>
          </w:p>
        </w:tc>
        <w:tc>
          <w:tcPr>
            <w:tcW w:w="801" w:type="pct"/>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面积</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（平方千米）</w:t>
            </w:r>
          </w:p>
        </w:tc>
        <w:tc>
          <w:tcPr>
            <w:tcW w:w="1605" w:type="pct"/>
            <w:shd w:val="clear" w:color="auto" w:fill="auto"/>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养殖数量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（猪当量/头）</w:t>
            </w:r>
          </w:p>
        </w:tc>
        <w:tc>
          <w:tcPr>
            <w:tcW w:w="1794" w:type="pct"/>
            <w:shd w:val="clear" w:color="auto" w:fill="auto"/>
            <w:vAlign w:val="center"/>
          </w:tcPr>
          <w:p>
            <w:pPr>
              <w:widowControl/>
              <w:adjustRightInd w:val="0"/>
              <w:snapToGrid w:val="0"/>
              <w:spacing w:line="300" w:lineRule="exact"/>
              <w:ind w:firstLine="0" w:firstLineChars="0"/>
              <w:jc w:val="center"/>
              <w:rPr>
                <w:rFonts w:eastAsia="方正黑体_GBK"/>
                <w:bCs/>
                <w:kern w:val="0"/>
                <w:sz w:val="24"/>
                <w:szCs w:val="24"/>
              </w:rPr>
            </w:pPr>
            <w:bookmarkStart w:id="13" w:name="_Hlk78900860"/>
            <w:r>
              <w:rPr>
                <w:rFonts w:hint="eastAsia" w:eastAsia="方正黑体_GBK"/>
                <w:bCs/>
                <w:kern w:val="0"/>
                <w:sz w:val="24"/>
                <w:szCs w:val="24"/>
              </w:rPr>
              <w:t>区域平均养殖量</w:t>
            </w:r>
            <w:bookmarkEnd w:id="13"/>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（猪当量/头</w:t>
            </w:r>
            <w:r>
              <w:rPr>
                <w:rFonts w:eastAsia="方正黑体_GBK"/>
                <w:bCs/>
                <w:kern w:val="0"/>
                <w:sz w:val="24"/>
                <w:szCs w:val="24"/>
              </w:rPr>
              <w:t>/</w:t>
            </w:r>
            <w:r>
              <w:rPr>
                <w:rFonts w:hint="eastAsia" w:eastAsia="方正黑体_GBK"/>
                <w:bCs/>
                <w:kern w:val="0"/>
                <w:sz w:val="24"/>
                <w:szCs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德感街道</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45.93</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17403</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先锋镇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4.07</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1333</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李市镇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14.25</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3187</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蔡家镇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18.82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4035</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几江街道</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15.90</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3000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圣泉街道</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25.72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4155</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支坪镇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18.02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2729</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珞璜镇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18.32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1880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双福街道</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12.26</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465</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中山镇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10.81</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240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永兴镇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16.84</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280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油溪镇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11.58</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130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石蟆镇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8.46</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64</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四面山镇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23.19</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136</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白沙镇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19.67</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柏林镇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12.52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慈云镇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6.24</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鼎山街道</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23.57</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杜市镇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9.98</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广兴镇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1.38</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嘉平镇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0.08</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贾嗣镇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4.87</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龙华镇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3.92</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石门镇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3.04</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四屏镇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17.93</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塘河镇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3.86</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吴滩镇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11.90</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西湖镇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2.08</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夏坝镇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4.85</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朱杨镇</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10.86</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00"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bCs/>
                <w:kern w:val="0"/>
                <w:sz w:val="24"/>
                <w:szCs w:val="24"/>
              </w:rPr>
              <w:t>总计</w:t>
            </w:r>
          </w:p>
        </w:tc>
        <w:tc>
          <w:tcPr>
            <w:tcW w:w="80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bCs/>
                <w:kern w:val="0"/>
                <w:sz w:val="24"/>
                <w:szCs w:val="24"/>
              </w:rPr>
              <w:t>380.93</w:t>
            </w:r>
          </w:p>
        </w:tc>
        <w:tc>
          <w:tcPr>
            <w:tcW w:w="1605"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39050</w:t>
            </w:r>
          </w:p>
        </w:tc>
        <w:tc>
          <w:tcPr>
            <w:tcW w:w="1794"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103</w:t>
            </w:r>
          </w:p>
        </w:tc>
      </w:tr>
    </w:tbl>
    <w:p>
      <w:pPr>
        <w:tabs>
          <w:tab w:val="left" w:pos="1580"/>
        </w:tabs>
        <w:spacing w:line="560" w:lineRule="exact"/>
        <w:ind w:firstLine="0" w:firstLineChars="0"/>
        <w:jc w:val="center"/>
        <w:rPr>
          <w:rFonts w:eastAsia="方正黑体_GBK"/>
          <w:sz w:val="28"/>
          <w:szCs w:val="28"/>
        </w:rPr>
      </w:pPr>
    </w:p>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61312" behindDoc="0" locked="0" layoutInCell="1" allowOverlap="1">
            <wp:simplePos x="0" y="0"/>
            <wp:positionH relativeFrom="column">
              <wp:posOffset>-51435</wp:posOffset>
            </wp:positionH>
            <wp:positionV relativeFrom="paragraph">
              <wp:posOffset>0</wp:posOffset>
            </wp:positionV>
            <wp:extent cx="5615940" cy="3246120"/>
            <wp:effectExtent l="0" t="0" r="3810" b="11430"/>
            <wp:wrapTopAndBottom/>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eastAsia="方正黑体_GBK"/>
          <w:sz w:val="28"/>
          <w:szCs w:val="28"/>
        </w:rPr>
        <w:t>图</w:t>
      </w:r>
      <w:r>
        <w:rPr>
          <w:rFonts w:eastAsia="方正黑体_GBK"/>
          <w:sz w:val="28"/>
          <w:szCs w:val="28"/>
        </w:rPr>
        <w:t>2</w:t>
      </w:r>
      <w:r>
        <w:rPr>
          <w:rFonts w:hint="eastAsia" w:eastAsia="方正黑体_GBK"/>
          <w:sz w:val="28"/>
          <w:szCs w:val="28"/>
        </w:rPr>
        <w:t>-</w:t>
      </w:r>
      <w:r>
        <w:rPr>
          <w:rFonts w:eastAsia="方正黑体_GBK"/>
          <w:sz w:val="28"/>
          <w:szCs w:val="28"/>
        </w:rPr>
        <w:t xml:space="preserve">2  </w:t>
      </w:r>
      <w:r>
        <w:rPr>
          <w:rFonts w:hint="eastAsia" w:eastAsia="方正黑体_GBK"/>
          <w:sz w:val="28"/>
          <w:szCs w:val="28"/>
        </w:rPr>
        <w:t>江津区各镇街限养区养殖数量对比图</w:t>
      </w:r>
    </w:p>
    <w:p>
      <w:pPr>
        <w:tabs>
          <w:tab w:val="left" w:pos="1580"/>
        </w:tabs>
        <w:spacing w:line="560" w:lineRule="exact"/>
        <w:ind w:firstLine="0" w:firstLineChars="0"/>
        <w:jc w:val="center"/>
        <w:rPr>
          <w:rFonts w:eastAsia="方正黑体_GBK"/>
          <w:sz w:val="28"/>
          <w:szCs w:val="28"/>
        </w:r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2</w:t>
      </w:r>
      <w:r>
        <w:rPr>
          <w:rFonts w:hint="eastAsia" w:eastAsia="方正黑体_GBK"/>
          <w:sz w:val="28"/>
          <w:szCs w:val="28"/>
        </w:rPr>
        <w:t>-</w:t>
      </w:r>
      <w:r>
        <w:rPr>
          <w:rFonts w:eastAsia="方正黑体_GBK"/>
          <w:sz w:val="28"/>
          <w:szCs w:val="28"/>
        </w:rPr>
        <w:t xml:space="preserve">9  </w:t>
      </w:r>
      <w:r>
        <w:rPr>
          <w:rFonts w:hint="eastAsia" w:eastAsia="方正黑体_GBK"/>
          <w:sz w:val="28"/>
          <w:szCs w:val="28"/>
        </w:rPr>
        <w:t>江津区适养区养殖数量分布表</w:t>
      </w:r>
      <w:r>
        <w:rPr>
          <w:rFonts w:eastAsia="方正黑体_GBK"/>
          <w:sz w:val="28"/>
          <w:szCs w:val="28"/>
        </w:rPr>
        <w:t xml:space="preserve">  </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0"/>
        <w:gridCol w:w="1632"/>
        <w:gridCol w:w="2819"/>
        <w:gridCol w:w="3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blHeader/>
        </w:trPr>
        <w:tc>
          <w:tcPr>
            <w:tcW w:w="838" w:type="pct"/>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镇街</w:t>
            </w:r>
          </w:p>
        </w:tc>
        <w:tc>
          <w:tcPr>
            <w:tcW w:w="788" w:type="pct"/>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面积</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（平方千米）</w:t>
            </w:r>
          </w:p>
        </w:tc>
        <w:tc>
          <w:tcPr>
            <w:tcW w:w="1593" w:type="pct"/>
            <w:shd w:val="clear" w:color="auto" w:fill="auto"/>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养殖数量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（猪当量</w:t>
            </w:r>
            <w:r>
              <w:rPr>
                <w:rFonts w:eastAsia="方正黑体_GBK"/>
                <w:bCs/>
                <w:kern w:val="0"/>
                <w:sz w:val="24"/>
                <w:szCs w:val="24"/>
              </w:rPr>
              <w:t>/</w:t>
            </w:r>
            <w:r>
              <w:rPr>
                <w:rFonts w:hint="eastAsia" w:eastAsia="方正黑体_GBK"/>
                <w:bCs/>
                <w:kern w:val="0"/>
                <w:sz w:val="24"/>
                <w:szCs w:val="24"/>
              </w:rPr>
              <w:t>头）</w:t>
            </w:r>
          </w:p>
        </w:tc>
        <w:tc>
          <w:tcPr>
            <w:tcW w:w="1781" w:type="pct"/>
            <w:shd w:val="clear" w:color="auto" w:fill="auto"/>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区域平均养殖量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（猪当量</w:t>
            </w:r>
            <w:r>
              <w:rPr>
                <w:rFonts w:eastAsia="方正黑体_GBK"/>
                <w:bCs/>
                <w:kern w:val="0"/>
                <w:sz w:val="24"/>
                <w:szCs w:val="24"/>
              </w:rPr>
              <w:t>/</w:t>
            </w:r>
            <w:r>
              <w:rPr>
                <w:rFonts w:hint="eastAsia" w:eastAsia="方正黑体_GBK"/>
                <w:bCs/>
                <w:kern w:val="0"/>
                <w:sz w:val="24"/>
                <w:szCs w:val="24"/>
              </w:rPr>
              <w:t>头</w:t>
            </w:r>
            <w:r>
              <w:rPr>
                <w:rFonts w:eastAsia="方正黑体_GBK"/>
                <w:bCs/>
                <w:kern w:val="0"/>
                <w:sz w:val="24"/>
                <w:szCs w:val="24"/>
              </w:rPr>
              <w:t>/</w:t>
            </w:r>
            <w:r>
              <w:rPr>
                <w:rFonts w:hint="eastAsia" w:eastAsia="方正黑体_GBK"/>
                <w:bCs/>
                <w:kern w:val="0"/>
                <w:sz w:val="24"/>
                <w:szCs w:val="24"/>
              </w:rPr>
              <w:t>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塘河镇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6.37</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7500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吴滩镇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66.25</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26307</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李市镇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150.47</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52759</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白沙镇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126.40</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26568</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先锋镇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107.19</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19097</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慈云镇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45.04</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6976</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夏坝镇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29.34</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4500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龙华镇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66.21</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8599</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油溪镇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118.31</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14573</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贾嗣镇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60.43</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6748</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双福街道</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5.76</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571</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柏林镇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90.18</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7135</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支坪镇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29.34</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2239</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西湖镇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127.30</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7968</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圣泉街道</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6.46</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380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朱杨镇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39.32</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2060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rFonts w:hint="eastAsia"/>
                <w:sz w:val="24"/>
                <w:szCs w:val="24"/>
              </w:rPr>
              <w:t>杜市镇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77.56</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3472</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广兴镇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30.44</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1133</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嘉平镇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80.09</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2880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石蟆镇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169.98</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5890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永兴镇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88.80</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2932</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石门镇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70.71</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1399</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四面山镇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25.03</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210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珞璜镇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39.98</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250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蔡家镇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176.36</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356</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四屏镇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39.12</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67</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鼎山街道</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0.33</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中山镇</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117.28</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德感街道</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1.11</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几江街道</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1.01</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838" w:type="pct"/>
            <w:shd w:val="clear" w:color="auto" w:fill="auto"/>
            <w:noWrap/>
            <w:vAlign w:val="center"/>
          </w:tcPr>
          <w:p>
            <w:pPr>
              <w:widowControl/>
              <w:adjustRightInd w:val="0"/>
              <w:snapToGrid w:val="0"/>
              <w:spacing w:line="300" w:lineRule="exact"/>
              <w:ind w:firstLine="0" w:firstLineChars="0"/>
              <w:jc w:val="center"/>
              <w:rPr>
                <w:sz w:val="24"/>
                <w:szCs w:val="24"/>
              </w:rPr>
            </w:pPr>
            <w:r>
              <w:rPr>
                <w:rFonts w:hint="eastAsia"/>
                <w:sz w:val="24"/>
                <w:szCs w:val="24"/>
              </w:rPr>
              <w:t>总计</w:t>
            </w:r>
          </w:p>
        </w:tc>
        <w:tc>
          <w:tcPr>
            <w:tcW w:w="788"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1992.15</w:t>
            </w:r>
          </w:p>
        </w:tc>
        <w:tc>
          <w:tcPr>
            <w:tcW w:w="1593"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212569</w:t>
            </w:r>
          </w:p>
        </w:tc>
        <w:tc>
          <w:tcPr>
            <w:tcW w:w="1781" w:type="pct"/>
            <w:shd w:val="clear" w:color="auto" w:fill="auto"/>
            <w:noWrap/>
            <w:vAlign w:val="center"/>
          </w:tcPr>
          <w:p>
            <w:pPr>
              <w:widowControl/>
              <w:adjustRightInd w:val="0"/>
              <w:snapToGrid w:val="0"/>
              <w:spacing w:line="300" w:lineRule="exact"/>
              <w:ind w:firstLine="0" w:firstLineChars="0"/>
              <w:jc w:val="center"/>
              <w:rPr>
                <w:bCs/>
                <w:kern w:val="0"/>
                <w:sz w:val="24"/>
                <w:szCs w:val="24"/>
              </w:rPr>
            </w:pPr>
            <w:r>
              <w:rPr>
                <w:sz w:val="24"/>
                <w:szCs w:val="24"/>
              </w:rPr>
              <w:t>107</w:t>
            </w:r>
          </w:p>
        </w:tc>
      </w:tr>
    </w:tbl>
    <w:p>
      <w:pPr>
        <w:tabs>
          <w:tab w:val="left" w:pos="1580"/>
        </w:tabs>
        <w:spacing w:line="560" w:lineRule="exact"/>
        <w:ind w:firstLine="0" w:firstLineChars="0"/>
        <w:jc w:val="center"/>
        <w:rPr>
          <w:rFonts w:eastAsia="方正黑体_GBK"/>
          <w:sz w:val="28"/>
          <w:szCs w:val="28"/>
        </w:r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图</w:t>
      </w:r>
      <w:r>
        <w:rPr>
          <w:rFonts w:eastAsia="方正黑体_GBK"/>
          <w:sz w:val="28"/>
          <w:szCs w:val="28"/>
        </w:rPr>
        <w:t>2</w:t>
      </w:r>
      <w:r>
        <w:rPr>
          <w:rFonts w:hint="eastAsia" w:eastAsia="方正黑体_GBK"/>
          <w:sz w:val="28"/>
          <w:szCs w:val="28"/>
        </w:rPr>
        <w:t>-</w:t>
      </w:r>
      <w:r>
        <w:rPr>
          <w:rFonts w:eastAsia="方正黑体_GBK"/>
          <w:sz w:val="28"/>
          <w:szCs w:val="28"/>
        </w:rPr>
        <w:t xml:space="preserve">3  </w:t>
      </w:r>
      <w:r>
        <w:rPr>
          <w:rFonts w:hint="eastAsia" w:eastAsia="方正黑体_GBK"/>
          <w:sz w:val="28"/>
          <w:szCs w:val="28"/>
        </w:rPr>
        <w:t>江津区各镇街适养区养殖数量对比图</w:t>
      </w:r>
      <w:r>
        <w:drawing>
          <wp:anchor distT="0" distB="0" distL="114300" distR="114300" simplePos="0" relativeHeight="251660288" behindDoc="0" locked="0" layoutInCell="1" allowOverlap="1">
            <wp:simplePos x="0" y="0"/>
            <wp:positionH relativeFrom="column">
              <wp:posOffset>1270</wp:posOffset>
            </wp:positionH>
            <wp:positionV relativeFrom="paragraph">
              <wp:posOffset>102870</wp:posOffset>
            </wp:positionV>
            <wp:extent cx="5615940" cy="3349625"/>
            <wp:effectExtent l="0" t="0" r="3810" b="317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spacing w:line="560" w:lineRule="exact"/>
        <w:ind w:firstLine="632"/>
        <w:rPr>
          <w:szCs w:val="32"/>
        </w:rPr>
      </w:pPr>
    </w:p>
    <w:p>
      <w:pPr>
        <w:ind w:firstLine="632"/>
        <w:outlineLvl w:val="1"/>
        <w:rPr>
          <w:rFonts w:eastAsia="方正楷体_GBK"/>
          <w:szCs w:val="32"/>
        </w:rPr>
      </w:pPr>
      <w:bookmarkStart w:id="14" w:name="_Toc79166984"/>
      <w:r>
        <w:rPr>
          <w:rFonts w:hint="eastAsia" w:eastAsia="方正楷体_GBK"/>
          <w:szCs w:val="32"/>
        </w:rPr>
        <w:t>（三）污染物产生情况分析</w:t>
      </w:r>
      <w:bookmarkEnd w:id="14"/>
    </w:p>
    <w:p>
      <w:pPr>
        <w:spacing w:line="560" w:lineRule="exact"/>
        <w:ind w:firstLine="632"/>
        <w:rPr>
          <w:szCs w:val="32"/>
        </w:rPr>
      </w:pPr>
      <w:r>
        <w:rPr>
          <w:szCs w:val="32"/>
        </w:rPr>
        <w:t>1.</w:t>
      </w:r>
      <w:r>
        <w:rPr>
          <w:rFonts w:hint="eastAsia"/>
          <w:szCs w:val="32"/>
        </w:rPr>
        <w:t>畜禽粪便总量</w:t>
      </w:r>
    </w:p>
    <w:p>
      <w:pPr>
        <w:ind w:firstLine="632"/>
      </w:pPr>
      <w:r>
        <w:rPr>
          <w:rFonts w:hint="eastAsia"/>
        </w:rPr>
        <w:t>根据计算，江津区畜禽粪便年产生量共计</w:t>
      </w:r>
      <w:r>
        <w:t>282965.66</w:t>
      </w:r>
      <w:r>
        <w:rPr>
          <w:rFonts w:hint="eastAsia"/>
        </w:rPr>
        <w:t>吨（粪年产生量为</w:t>
      </w:r>
      <w:r>
        <w:t>148104.78</w:t>
      </w:r>
      <w:r>
        <w:rPr>
          <w:rFonts w:hint="eastAsia"/>
        </w:rPr>
        <w:t>吨，尿年产生量为</w:t>
      </w:r>
      <w:r>
        <w:t>134860.88</w:t>
      </w:r>
      <w:r>
        <w:rPr>
          <w:rFonts w:hint="eastAsia"/>
        </w:rPr>
        <w:t>吨）。李市镇粪便年产生量最多，为</w:t>
      </w:r>
      <w:r>
        <w:t>63026.27</w:t>
      </w:r>
      <w:r>
        <w:rPr>
          <w:rFonts w:hint="eastAsia"/>
        </w:rPr>
        <w:t>吨，占比</w:t>
      </w:r>
      <w:r>
        <w:t>22.27</w:t>
      </w:r>
      <w:r>
        <w:rPr>
          <w:rFonts w:hint="eastAsia"/>
        </w:rPr>
        <w:t>%，其中该镇粪便年产量较多的为重庆宏牧农业科技有限公司、江津区锋源农业开发有限公司、重庆邦航牧业科技有限公司、重庆渝瑞源有限公司和重庆果穗生态农业开发有限公司，分别为</w:t>
      </w:r>
      <w:r>
        <w:t>21100</w:t>
      </w:r>
      <w:r>
        <w:rPr>
          <w:rFonts w:hint="eastAsia"/>
        </w:rPr>
        <w:t>吨/年、5</w:t>
      </w:r>
      <w:r>
        <w:t>475</w:t>
      </w:r>
      <w:r>
        <w:rPr>
          <w:rFonts w:hint="eastAsia"/>
        </w:rPr>
        <w:t>吨/年、5</w:t>
      </w:r>
      <w:r>
        <w:t>475</w:t>
      </w:r>
      <w:r>
        <w:rPr>
          <w:rFonts w:hint="eastAsia"/>
        </w:rPr>
        <w:t>吨/年、5</w:t>
      </w:r>
      <w:r>
        <w:t>475</w:t>
      </w:r>
      <w:r>
        <w:rPr>
          <w:rFonts w:hint="eastAsia"/>
        </w:rPr>
        <w:t>吨/年和4</w:t>
      </w:r>
      <w:r>
        <w:t>380</w:t>
      </w:r>
      <w:r>
        <w:rPr>
          <w:rFonts w:hint="eastAsia"/>
        </w:rPr>
        <w:t>吨/年，其他养殖场年粪便产生量均低于</w:t>
      </w:r>
      <w:r>
        <w:t>2800</w:t>
      </w:r>
      <w:r>
        <w:rPr>
          <w:rFonts w:hint="eastAsia"/>
        </w:rPr>
        <w:t>吨/年；其次是吴滩镇，产生量为</w:t>
      </w:r>
      <w:r>
        <w:t>28314.10</w:t>
      </w:r>
      <w:r>
        <w:rPr>
          <w:rFonts w:hint="eastAsia"/>
        </w:rPr>
        <w:t>吨/年，占比为</w:t>
      </w:r>
      <w:r>
        <w:t>10.01</w:t>
      </w:r>
      <w:r>
        <w:rPr>
          <w:rFonts w:hint="eastAsia"/>
        </w:rPr>
        <w:t>%，其中该镇规模养猪场重庆帅荣农业发展有限公司、江津区吴滩镇荣容养殖场、重庆九牧坊生态农业科技有限公司和重庆市蓬翱生猪养殖场的年粪便产生量较大，分别为2</w:t>
      </w:r>
      <w:r>
        <w:t>637.5</w:t>
      </w:r>
      <w:r>
        <w:rPr>
          <w:rFonts w:hint="eastAsia"/>
        </w:rPr>
        <w:t>吨/年、2</w:t>
      </w:r>
      <w:r>
        <w:t>110</w:t>
      </w:r>
      <w:r>
        <w:rPr>
          <w:rFonts w:hint="eastAsia"/>
        </w:rPr>
        <w:t>吨/年、2</w:t>
      </w:r>
      <w:r>
        <w:t>110</w:t>
      </w:r>
      <w:r>
        <w:rPr>
          <w:rFonts w:hint="eastAsia"/>
        </w:rPr>
        <w:t>吨/年和2</w:t>
      </w:r>
      <w:r>
        <w:t>110</w:t>
      </w:r>
      <w:r>
        <w:rPr>
          <w:rFonts w:hint="eastAsia"/>
        </w:rPr>
        <w:t>吨/年，其他养殖场年粪便产生量均低于</w:t>
      </w:r>
      <w:r>
        <w:t>1600</w:t>
      </w:r>
      <w:r>
        <w:rPr>
          <w:rFonts w:hint="eastAsia"/>
        </w:rPr>
        <w:t>吨/年；四屏镇粪便年产生量最少，为</w:t>
      </w:r>
      <w:r>
        <w:t>60.67</w:t>
      </w:r>
      <w:r>
        <w:rPr>
          <w:rFonts w:hint="eastAsia"/>
        </w:rPr>
        <w:t>吨，占比0</w:t>
      </w:r>
      <w:r>
        <w:t>.02</w:t>
      </w:r>
      <w:r>
        <w:rPr>
          <w:rFonts w:hint="eastAsia"/>
        </w:rPr>
        <w:t>%，该镇仅有刘正斌养猪场、贝艺源农业有限公司两家养殖场，产生量分别为5</w:t>
      </w:r>
      <w:r>
        <w:t>2.75</w:t>
      </w:r>
      <w:r>
        <w:rPr>
          <w:rFonts w:hint="eastAsia"/>
        </w:rPr>
        <w:t>吨/年、</w:t>
      </w:r>
      <w:r>
        <w:t>7.9</w:t>
      </w:r>
      <w:r>
        <w:rPr>
          <w:rFonts w:hint="eastAsia"/>
        </w:rPr>
        <w:t>吨/年。见表</w:t>
      </w:r>
      <w:r>
        <w:t>2-10</w:t>
      </w:r>
      <w:r>
        <w:rPr>
          <w:rFonts w:hint="eastAsia"/>
        </w:rPr>
        <w:t>。</w:t>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2-10  </w:t>
      </w:r>
      <w:r>
        <w:rPr>
          <w:rFonts w:hint="eastAsia" w:eastAsia="方正黑体_GBK"/>
          <w:sz w:val="28"/>
          <w:szCs w:val="28"/>
        </w:rPr>
        <w:t>江津区畜禽粪便产生量</w:t>
      </w:r>
    </w:p>
    <w:tbl>
      <w:tblPr>
        <w:tblStyle w:val="1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505"/>
        <w:gridCol w:w="1058"/>
        <w:gridCol w:w="1465"/>
        <w:gridCol w:w="1064"/>
        <w:gridCol w:w="1499"/>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418" w:type="dxa"/>
            <w:vMerge w:val="restart"/>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镇街名称</w:t>
            </w:r>
          </w:p>
        </w:tc>
        <w:tc>
          <w:tcPr>
            <w:tcW w:w="2563" w:type="dxa"/>
            <w:gridSpan w:val="2"/>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粪</w:t>
            </w:r>
          </w:p>
        </w:tc>
        <w:tc>
          <w:tcPr>
            <w:tcW w:w="2529" w:type="dxa"/>
            <w:gridSpan w:val="2"/>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尿</w:t>
            </w:r>
          </w:p>
        </w:tc>
        <w:tc>
          <w:tcPr>
            <w:tcW w:w="2563" w:type="dxa"/>
            <w:gridSpan w:val="2"/>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粪便总量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418" w:type="dxa"/>
            <w:vMerge w:val="continue"/>
            <w:shd w:val="clear" w:color="auto" w:fill="auto"/>
            <w:noWrap/>
            <w:vAlign w:val="center"/>
          </w:tcPr>
          <w:p>
            <w:pPr>
              <w:widowControl/>
              <w:adjustRightInd w:val="0"/>
              <w:snapToGrid w:val="0"/>
              <w:spacing w:line="300" w:lineRule="exact"/>
              <w:ind w:firstLine="0" w:firstLineChars="0"/>
              <w:jc w:val="center"/>
              <w:rPr>
                <w:bCs/>
                <w:kern w:val="0"/>
                <w:sz w:val="24"/>
                <w:szCs w:val="24"/>
              </w:rPr>
            </w:pPr>
          </w:p>
        </w:tc>
        <w:tc>
          <w:tcPr>
            <w:tcW w:w="1505"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产生量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（吨</w:t>
            </w:r>
            <w:r>
              <w:rPr>
                <w:rFonts w:eastAsia="方正黑体_GBK"/>
                <w:bCs/>
                <w:kern w:val="0"/>
                <w:sz w:val="24"/>
                <w:szCs w:val="24"/>
              </w:rPr>
              <w:t>/</w:t>
            </w:r>
            <w:r>
              <w:rPr>
                <w:rFonts w:hint="eastAsia" w:eastAsia="方正黑体_GBK"/>
                <w:bCs/>
                <w:kern w:val="0"/>
                <w:sz w:val="24"/>
                <w:szCs w:val="24"/>
              </w:rPr>
              <w:t>年）</w:t>
            </w:r>
          </w:p>
        </w:tc>
        <w:tc>
          <w:tcPr>
            <w:tcW w:w="1058"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占比（</w:t>
            </w:r>
            <w:r>
              <w:rPr>
                <w:rFonts w:eastAsia="方正黑体_GBK"/>
                <w:bCs/>
                <w:kern w:val="0"/>
                <w:sz w:val="24"/>
                <w:szCs w:val="24"/>
              </w:rPr>
              <w:t>%</w:t>
            </w:r>
            <w:r>
              <w:rPr>
                <w:rFonts w:hint="eastAsia" w:eastAsia="方正黑体_GBK"/>
                <w:bCs/>
                <w:kern w:val="0"/>
                <w:sz w:val="24"/>
                <w:szCs w:val="24"/>
              </w:rPr>
              <w:t>）</w:t>
            </w:r>
          </w:p>
        </w:tc>
        <w:tc>
          <w:tcPr>
            <w:tcW w:w="1465"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产生量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（吨</w:t>
            </w:r>
            <w:r>
              <w:rPr>
                <w:rFonts w:eastAsia="方正黑体_GBK"/>
                <w:bCs/>
                <w:kern w:val="0"/>
                <w:sz w:val="24"/>
                <w:szCs w:val="24"/>
              </w:rPr>
              <w:t>/</w:t>
            </w:r>
            <w:r>
              <w:rPr>
                <w:rFonts w:hint="eastAsia" w:eastAsia="方正黑体_GBK"/>
                <w:bCs/>
                <w:kern w:val="0"/>
                <w:sz w:val="24"/>
                <w:szCs w:val="24"/>
              </w:rPr>
              <w:t>年）</w:t>
            </w:r>
          </w:p>
        </w:tc>
        <w:tc>
          <w:tcPr>
            <w:tcW w:w="1064"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占比（</w:t>
            </w:r>
            <w:r>
              <w:rPr>
                <w:rFonts w:eastAsia="方正黑体_GBK"/>
                <w:bCs/>
                <w:kern w:val="0"/>
                <w:sz w:val="24"/>
                <w:szCs w:val="24"/>
              </w:rPr>
              <w:t>%</w:t>
            </w:r>
            <w:r>
              <w:rPr>
                <w:rFonts w:hint="eastAsia" w:eastAsia="方正黑体_GBK"/>
                <w:bCs/>
                <w:kern w:val="0"/>
                <w:sz w:val="24"/>
                <w:szCs w:val="24"/>
              </w:rPr>
              <w:t>）</w:t>
            </w:r>
          </w:p>
        </w:tc>
        <w:tc>
          <w:tcPr>
            <w:tcW w:w="1499"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产生量</w:t>
            </w:r>
          </w:p>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（吨</w:t>
            </w:r>
            <w:r>
              <w:rPr>
                <w:rFonts w:eastAsia="方正黑体_GBK"/>
                <w:bCs/>
                <w:kern w:val="0"/>
                <w:sz w:val="24"/>
                <w:szCs w:val="24"/>
              </w:rPr>
              <w:t>/</w:t>
            </w:r>
            <w:r>
              <w:rPr>
                <w:rFonts w:hint="eastAsia" w:eastAsia="方正黑体_GBK"/>
                <w:bCs/>
                <w:kern w:val="0"/>
                <w:sz w:val="24"/>
                <w:szCs w:val="24"/>
              </w:rPr>
              <w:t>年）</w:t>
            </w:r>
          </w:p>
        </w:tc>
        <w:tc>
          <w:tcPr>
            <w:tcW w:w="1064" w:type="dxa"/>
            <w:shd w:val="clear" w:color="auto" w:fill="auto"/>
            <w:noWrap/>
            <w:vAlign w:val="center"/>
          </w:tcPr>
          <w:p>
            <w:pPr>
              <w:widowControl/>
              <w:adjustRightInd w:val="0"/>
              <w:snapToGrid w:val="0"/>
              <w:spacing w:line="300" w:lineRule="exact"/>
              <w:ind w:firstLine="0" w:firstLineChars="0"/>
              <w:jc w:val="center"/>
              <w:rPr>
                <w:rFonts w:eastAsia="方正黑体_GBK"/>
                <w:bCs/>
                <w:kern w:val="0"/>
                <w:sz w:val="24"/>
                <w:szCs w:val="24"/>
              </w:rPr>
            </w:pPr>
            <w:r>
              <w:rPr>
                <w:rFonts w:hint="eastAsia" w:eastAsia="方正黑体_GBK"/>
                <w:bCs/>
                <w:kern w:val="0"/>
                <w:sz w:val="24"/>
                <w:szCs w:val="24"/>
              </w:rPr>
              <w:t>占比（</w:t>
            </w:r>
            <w:r>
              <w:rPr>
                <w:rFonts w:eastAsia="方正黑体_GBK"/>
                <w:bCs/>
                <w:kern w:val="0"/>
                <w:sz w:val="24"/>
                <w:szCs w:val="24"/>
              </w:rPr>
              <w:t>%</w:t>
            </w:r>
            <w:r>
              <w:rPr>
                <w:rFonts w:hint="eastAsia" w:eastAsia="方正黑体_GBK"/>
                <w:bCs/>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36621.48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24.73</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26404.79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19.58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63026.27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11648.20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7.86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16665.90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12.36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28314.10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12369.91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8.35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14432.98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10.70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26802.89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15731.32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10.62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9936.03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7.37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25667.35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12056.76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8.14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9284.14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6.88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21340.90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10130.57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6.84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6631.39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4.92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16761.96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5630.42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3.80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4677.04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3.47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10307.46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5631.96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3.80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3387.05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2.51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9019.01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4076.84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2.75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4824.80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3.58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8901.64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塘河镇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2995.08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4927.50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3.65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7922.58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3294.45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4443.88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3.30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7738.33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3543.78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2.39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3415.87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2.53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6959.65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贾嗣镇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3346.25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2.26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3451.22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2.56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6797.48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2428.20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1.64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3000.30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2.22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5428.50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支坪镇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1982.74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1.34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3260.95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2.42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5243.70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蔡家镇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2360.35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1.59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2771.52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2.06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5131.87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1948.13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1.32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2716.70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2.01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4664.83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杜市镇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1480.80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2204.30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1.63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3685.11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几江街道</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2514.38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1.70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862.13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0.64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3376.51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永兴镇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2281.75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1.54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1005.94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0.75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3287.69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1146.24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0.77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1892.16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1.40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3038.40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朱杨镇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1473.74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956.98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0.71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2430.72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珞璜镇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847.74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0.57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1399.41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1.04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2247.15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石门镇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1215.10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0.82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791.39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0.59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2006.50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双福街道</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469.65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0.32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621.01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0.46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1090.67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广兴镇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550.54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0.37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502.31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0.37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1052.85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四面山镇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207.68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0.14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200.02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0.15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407.70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中山镇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95.52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0.06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157.68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0.12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253.20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四屏镇</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25.18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0.02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35.49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0.03 </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60.67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18" w:type="dxa"/>
            <w:shd w:val="clear" w:color="auto" w:fill="auto"/>
            <w:noWrap/>
            <w:vAlign w:val="bottom"/>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150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148104.78 </w:t>
            </w:r>
          </w:p>
        </w:tc>
        <w:tc>
          <w:tcPr>
            <w:tcW w:w="1058"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100.00 </w:t>
            </w:r>
          </w:p>
        </w:tc>
        <w:tc>
          <w:tcPr>
            <w:tcW w:w="1465"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134860.88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100</w:t>
            </w:r>
          </w:p>
        </w:tc>
        <w:tc>
          <w:tcPr>
            <w:tcW w:w="1499"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282965.66 </w:t>
            </w:r>
          </w:p>
        </w:tc>
        <w:tc>
          <w:tcPr>
            <w:tcW w:w="1064" w:type="dxa"/>
            <w:shd w:val="clear" w:color="auto" w:fill="auto"/>
            <w:noWrap/>
            <w:vAlign w:val="bottom"/>
          </w:tcPr>
          <w:p>
            <w:pPr>
              <w:spacing w:line="300" w:lineRule="exact"/>
              <w:ind w:firstLine="0" w:firstLineChars="0"/>
              <w:jc w:val="center"/>
              <w:rPr>
                <w:rFonts w:cs="Times New Roman"/>
                <w:sz w:val="24"/>
                <w:szCs w:val="24"/>
              </w:rPr>
            </w:pPr>
            <w:r>
              <w:rPr>
                <w:rFonts w:cs="Times New Roman"/>
                <w:sz w:val="24"/>
                <w:szCs w:val="24"/>
              </w:rPr>
              <w:t xml:space="preserve">100.00 </w:t>
            </w:r>
          </w:p>
        </w:tc>
      </w:tr>
    </w:tbl>
    <w:p>
      <w:pPr>
        <w:spacing w:line="300" w:lineRule="exact"/>
        <w:ind w:firstLine="0" w:firstLineChars="0"/>
        <w:jc w:val="center"/>
        <w:rPr>
          <w:rFonts w:ascii="方正仿宋_GBK" w:hAnsi="Arial" w:cs="Arial"/>
          <w:sz w:val="24"/>
          <w:szCs w:val="24"/>
        </w:rPr>
      </w:pPr>
    </w:p>
    <w:p>
      <w:pPr>
        <w:ind w:firstLine="632"/>
      </w:pPr>
      <w:r>
        <w:t>2.</w:t>
      </w:r>
      <w:r>
        <w:rPr>
          <w:rFonts w:hint="eastAsia"/>
        </w:rPr>
        <w:t>畜禽粪便污染物产生量</w:t>
      </w:r>
    </w:p>
    <w:p>
      <w:pPr>
        <w:ind w:firstLine="632"/>
      </w:pPr>
      <w:r>
        <w:rPr>
          <w:rFonts w:hint="eastAsia"/>
        </w:rPr>
        <w:t>根据计算，江津区</w:t>
      </w:r>
      <w:r>
        <w:t>2020</w:t>
      </w:r>
      <w:r>
        <w:rPr>
          <w:rFonts w:hint="eastAsia"/>
        </w:rPr>
        <w:t>年畜禽养殖粪便主要污染物COD、BOD、NH</w:t>
      </w:r>
      <w:r>
        <w:rPr>
          <w:vertAlign w:val="subscript"/>
        </w:rPr>
        <w:t>3</w:t>
      </w:r>
      <w:r>
        <w:rPr>
          <w:rFonts w:hint="eastAsia"/>
        </w:rPr>
        <w:t>-N、</w:t>
      </w:r>
      <w:r>
        <w:t>TP</w:t>
      </w:r>
      <w:r>
        <w:rPr>
          <w:rFonts w:hint="eastAsia"/>
        </w:rPr>
        <w:t>、TN产生总量为</w:t>
      </w:r>
      <w:r>
        <w:t>17248.77</w:t>
      </w:r>
      <w:r>
        <w:rPr>
          <w:rFonts w:hint="eastAsia"/>
        </w:rPr>
        <w:t>吨/年，主要集中在长江、笋溪河、梅江河沿线。其中规模化畜禽养殖场产生的</w:t>
      </w:r>
      <w:bookmarkStart w:id="15" w:name="_Hlk77689707"/>
      <w:r>
        <w:t>COD</w:t>
      </w:r>
      <w:r>
        <w:rPr>
          <w:rFonts w:hint="eastAsia"/>
        </w:rPr>
        <w:t>、</w:t>
      </w:r>
      <w:r>
        <w:t>BOD</w:t>
      </w:r>
      <w:r>
        <w:rPr>
          <w:rFonts w:hint="eastAsia"/>
        </w:rPr>
        <w:t>、</w:t>
      </w:r>
      <w:r>
        <w:t>NH</w:t>
      </w:r>
      <w:r>
        <w:rPr>
          <w:vertAlign w:val="subscript"/>
        </w:rPr>
        <w:t>3</w:t>
      </w:r>
      <w:r>
        <w:t>-N</w:t>
      </w:r>
      <w:r>
        <w:rPr>
          <w:rFonts w:hint="eastAsia"/>
        </w:rPr>
        <w:t>、</w:t>
      </w:r>
      <w:bookmarkStart w:id="16" w:name="_Hlk77689638"/>
      <w:r>
        <w:t>TN</w:t>
      </w:r>
      <w:bookmarkEnd w:id="15"/>
      <w:bookmarkEnd w:id="16"/>
      <w:r>
        <w:rPr>
          <w:rFonts w:hint="eastAsia"/>
        </w:rPr>
        <w:t>污染物最多，集约化畜禽养殖场产生的</w:t>
      </w:r>
      <w:r>
        <w:t>TP</w:t>
      </w:r>
      <w:r>
        <w:rPr>
          <w:rFonts w:hint="eastAsia"/>
        </w:rPr>
        <w:t>污染物最多。且生猪是COD、BOD、NH</w:t>
      </w:r>
      <w:r>
        <w:rPr>
          <w:vertAlign w:val="subscript"/>
        </w:rPr>
        <w:t>3</w:t>
      </w:r>
      <w:r>
        <w:rPr>
          <w:rFonts w:hint="eastAsia"/>
        </w:rPr>
        <w:t>-N、TP、TN的首要贡献源。详见表</w:t>
      </w:r>
      <w:r>
        <w:t>2-11</w:t>
      </w:r>
      <w:r>
        <w:rPr>
          <w:rFonts w:hint="eastAsia"/>
        </w:rPr>
        <w:t>、表</w:t>
      </w:r>
      <w:r>
        <w:t>2-12</w:t>
      </w:r>
      <w:r>
        <w:rPr>
          <w:rFonts w:hint="eastAsia"/>
        </w:rPr>
        <w:t>、表</w:t>
      </w:r>
      <w:r>
        <w:t>2-13</w:t>
      </w:r>
      <w:r>
        <w:rPr>
          <w:rFonts w:hint="eastAsia"/>
        </w:rPr>
        <w:t>，图</w:t>
      </w:r>
      <w:r>
        <w:t>2-4</w:t>
      </w:r>
      <w:r>
        <w:rPr>
          <w:rFonts w:hint="eastAsia"/>
        </w:rPr>
        <w:t>、图</w:t>
      </w:r>
      <w:r>
        <w:t>2-5</w:t>
      </w:r>
      <w:r>
        <w:rPr>
          <w:rFonts w:hint="eastAsia"/>
        </w:rPr>
        <w:t>、图</w:t>
      </w:r>
      <w:r>
        <w:t>2-6</w:t>
      </w:r>
      <w:r>
        <w:rPr>
          <w:rFonts w:hint="eastAsia"/>
        </w:rPr>
        <w:t>、图</w:t>
      </w:r>
      <w:r>
        <w:t>2-</w:t>
      </w:r>
      <w:r>
        <w:rPr>
          <w:rFonts w:hint="eastAsia"/>
        </w:rPr>
        <w:t>7、图</w:t>
      </w:r>
      <w:r>
        <w:t>2-8</w:t>
      </w:r>
      <w:r>
        <w:rPr>
          <w:rFonts w:hint="eastAsia"/>
        </w:rPr>
        <w:t>、图</w:t>
      </w:r>
      <w:r>
        <w:t>2-9</w:t>
      </w:r>
      <w:r>
        <w:rPr>
          <w:rFonts w:hint="eastAsia"/>
        </w:rPr>
        <w:t>、图</w:t>
      </w:r>
      <w:r>
        <w:t>2-10</w:t>
      </w:r>
      <w:r>
        <w:rPr>
          <w:rFonts w:hint="eastAsia"/>
        </w:rPr>
        <w:t>。</w:t>
      </w:r>
    </w:p>
    <w:p>
      <w:pPr>
        <w:ind w:firstLine="632"/>
      </w:pPr>
      <w:r>
        <w:rPr>
          <w:rFonts w:hint="eastAsia"/>
        </w:rPr>
        <w:t>COD产生量为7</w:t>
      </w:r>
      <w:r>
        <w:t>484.53</w:t>
      </w:r>
      <w:r>
        <w:rPr>
          <w:rFonts w:hint="eastAsia"/>
        </w:rPr>
        <w:t>吨/年，主要来自于李市镇、白沙镇、吴滩镇，产生量分别为1</w:t>
      </w:r>
      <w:r>
        <w:t>686.74</w:t>
      </w:r>
      <w:r>
        <w:rPr>
          <w:rFonts w:hint="eastAsia"/>
        </w:rPr>
        <w:t>吨/年、7</w:t>
      </w:r>
      <w:r>
        <w:t>40.45</w:t>
      </w:r>
      <w:r>
        <w:rPr>
          <w:rFonts w:hint="eastAsia"/>
        </w:rPr>
        <w:t>吨/年、</w:t>
      </w:r>
      <w:r>
        <w:t>733.30</w:t>
      </w:r>
      <w:r>
        <w:rPr>
          <w:rFonts w:hint="eastAsia"/>
        </w:rPr>
        <w:t>吨/年，占比分别为</w:t>
      </w:r>
      <w:r>
        <w:t>22.54</w:t>
      </w:r>
      <w:r>
        <w:rPr>
          <w:rFonts w:hint="eastAsia"/>
        </w:rPr>
        <w:t>%、</w:t>
      </w:r>
      <w:r>
        <w:t>9.89</w:t>
      </w:r>
      <w:r>
        <w:rPr>
          <w:rFonts w:hint="eastAsia"/>
        </w:rPr>
        <w:t>%、9</w:t>
      </w:r>
      <w:r>
        <w:t>.8</w:t>
      </w:r>
      <w:r>
        <w:rPr>
          <w:rFonts w:hint="eastAsia"/>
        </w:rPr>
        <w:t>%。李市镇中重庆宏牧农业科技有限公司产生量最多，为5</w:t>
      </w:r>
      <w:r>
        <w:t>32.18</w:t>
      </w:r>
      <w:r>
        <w:rPr>
          <w:rFonts w:hint="eastAsia"/>
        </w:rPr>
        <w:t>吨/年，占李市镇产生总量比例为3</w:t>
      </w:r>
      <w:r>
        <w:t>1.55</w:t>
      </w:r>
      <w:r>
        <w:rPr>
          <w:rFonts w:hint="eastAsia"/>
        </w:rPr>
        <w:t>%；白沙镇中嫦娥生猪养殖有限公司产生量最多，为1</w:t>
      </w:r>
      <w:r>
        <w:t>59.65</w:t>
      </w:r>
      <w:r>
        <w:rPr>
          <w:rFonts w:hint="eastAsia"/>
        </w:rPr>
        <w:t>吨/年，占白沙镇产生总量比例为2</w:t>
      </w:r>
      <w:r>
        <w:t>1.56</w:t>
      </w:r>
      <w:r>
        <w:rPr>
          <w:rFonts w:hint="eastAsia"/>
        </w:rPr>
        <w:t>%；吴滩镇中重庆帅荣农业发展有限公司产生量最多，为6</w:t>
      </w:r>
      <w:r>
        <w:t>6.52</w:t>
      </w:r>
      <w:r>
        <w:rPr>
          <w:rFonts w:hint="eastAsia"/>
        </w:rPr>
        <w:t>吨/年，占吴滩镇产生总量比例为9</w:t>
      </w:r>
      <w:r>
        <w:t>.07</w:t>
      </w:r>
      <w:r>
        <w:rPr>
          <w:rFonts w:hint="eastAsia"/>
        </w:rPr>
        <w:t>%。</w:t>
      </w:r>
    </w:p>
    <w:p>
      <w:pPr>
        <w:ind w:firstLine="632"/>
      </w:pPr>
      <w:r>
        <w:rPr>
          <w:rFonts w:hint="eastAsia"/>
        </w:rPr>
        <w:t>BOD产生量为</w:t>
      </w:r>
      <w:r>
        <w:t>7087.48</w:t>
      </w:r>
      <w:r>
        <w:rPr>
          <w:rFonts w:hint="eastAsia"/>
        </w:rPr>
        <w:t>吨/年，主要来自于李市镇、白沙镇、吴滩镇，产生量依次为</w:t>
      </w:r>
      <w:r>
        <w:t>1568.65</w:t>
      </w:r>
      <w:r>
        <w:rPr>
          <w:rFonts w:hint="eastAsia"/>
        </w:rPr>
        <w:t>吨/年、</w:t>
      </w:r>
      <w:r>
        <w:t>731.06</w:t>
      </w:r>
      <w:r>
        <w:rPr>
          <w:rFonts w:hint="eastAsia"/>
        </w:rPr>
        <w:t>吨/年、</w:t>
      </w:r>
      <w:r>
        <w:t>719.30</w:t>
      </w:r>
      <w:r>
        <w:rPr>
          <w:rFonts w:hint="eastAsia"/>
        </w:rPr>
        <w:t>吨/年，占比分别为</w:t>
      </w:r>
      <w:r>
        <w:t>22.13</w:t>
      </w:r>
      <w:r>
        <w:rPr>
          <w:rFonts w:hint="eastAsia"/>
        </w:rPr>
        <w:t>%、</w:t>
      </w:r>
      <w:r>
        <w:t>10.31</w:t>
      </w:r>
      <w:r>
        <w:rPr>
          <w:rFonts w:hint="eastAsia"/>
        </w:rPr>
        <w:t>%、</w:t>
      </w:r>
      <w:r>
        <w:t>10.15</w:t>
      </w:r>
      <w:r>
        <w:rPr>
          <w:rFonts w:hint="eastAsia"/>
        </w:rPr>
        <w:t>%。李市镇中重庆宏牧农业科技有限公司产生量最多，为5</w:t>
      </w:r>
      <w:r>
        <w:t>32.18</w:t>
      </w:r>
      <w:r>
        <w:rPr>
          <w:rFonts w:hint="eastAsia"/>
        </w:rPr>
        <w:t>吨/年，占李市镇产生总量比例为</w:t>
      </w:r>
      <w:r>
        <w:t>33.93</w:t>
      </w:r>
      <w:r>
        <w:rPr>
          <w:rFonts w:hint="eastAsia"/>
        </w:rPr>
        <w:t>%；白沙镇中嫦娥生猪养殖有限公司产生量最多，为1</w:t>
      </w:r>
      <w:r>
        <w:t>55.90</w:t>
      </w:r>
      <w:r>
        <w:rPr>
          <w:rFonts w:hint="eastAsia"/>
        </w:rPr>
        <w:t>吨/年，占油溪镇产生总量比例为2</w:t>
      </w:r>
      <w:r>
        <w:t>1.33</w:t>
      </w:r>
      <w:r>
        <w:rPr>
          <w:rFonts w:hint="eastAsia"/>
        </w:rPr>
        <w:t>%；吴滩镇中重庆帅荣农业发展有限公司产生量最多，为</w:t>
      </w:r>
      <w:r>
        <w:t>64.96</w:t>
      </w:r>
      <w:r>
        <w:rPr>
          <w:rFonts w:hint="eastAsia"/>
        </w:rPr>
        <w:t>吨/年，占吴滩镇产生总量比例为9</w:t>
      </w:r>
      <w:r>
        <w:t>.03</w:t>
      </w:r>
      <w:r>
        <w:rPr>
          <w:rFonts w:hint="eastAsia"/>
        </w:rPr>
        <w:t>%。</w:t>
      </w:r>
    </w:p>
    <w:p>
      <w:pPr>
        <w:ind w:firstLine="632"/>
      </w:pPr>
      <w:r>
        <w:rPr>
          <w:rFonts w:hint="eastAsia"/>
        </w:rPr>
        <w:t>NH</w:t>
      </w:r>
      <w:r>
        <w:rPr>
          <w:rFonts w:hint="eastAsia"/>
          <w:vertAlign w:val="subscript"/>
        </w:rPr>
        <w:t>3</w:t>
      </w:r>
      <w:r>
        <w:rPr>
          <w:rFonts w:hint="eastAsia"/>
        </w:rPr>
        <w:t>-N产生量为</w:t>
      </w:r>
      <w:r>
        <w:t>670.84</w:t>
      </w:r>
      <w:r>
        <w:rPr>
          <w:rFonts w:hint="eastAsia"/>
        </w:rPr>
        <w:t>吨/年，主要来自于李市镇、先锋镇、白沙镇，产生量依次为</w:t>
      </w:r>
      <w:r>
        <w:t>157.11</w:t>
      </w:r>
      <w:r>
        <w:rPr>
          <w:rFonts w:hint="eastAsia"/>
        </w:rPr>
        <w:t>吨/年、</w:t>
      </w:r>
      <w:r>
        <w:t>64.63</w:t>
      </w:r>
      <w:r>
        <w:rPr>
          <w:rFonts w:hint="eastAsia"/>
        </w:rPr>
        <w:t>吨/年、</w:t>
      </w:r>
      <w:r>
        <w:t>62.75</w:t>
      </w:r>
      <w:r>
        <w:rPr>
          <w:rFonts w:hint="eastAsia"/>
        </w:rPr>
        <w:t>吨/年，占比分别为</w:t>
      </w:r>
      <w:r>
        <w:t>23.42</w:t>
      </w:r>
      <w:r>
        <w:rPr>
          <w:rFonts w:hint="eastAsia"/>
        </w:rPr>
        <w:t>%、</w:t>
      </w:r>
      <w:r>
        <w:t>9.63</w:t>
      </w:r>
      <w:r>
        <w:rPr>
          <w:rFonts w:hint="eastAsia"/>
        </w:rPr>
        <w:t>%、9</w:t>
      </w:r>
      <w:r>
        <w:t>.35</w:t>
      </w:r>
      <w:r>
        <w:rPr>
          <w:rFonts w:hint="eastAsia"/>
        </w:rPr>
        <w:t>%；李市镇中重庆宏牧农业科技有限公司产生量最多，为</w:t>
      </w:r>
      <w:r>
        <w:t>43.07</w:t>
      </w:r>
      <w:r>
        <w:rPr>
          <w:rFonts w:hint="eastAsia"/>
        </w:rPr>
        <w:t>吨/年，占李市镇产生总量比例分别为</w:t>
      </w:r>
      <w:r>
        <w:t>27.41</w:t>
      </w:r>
      <w:r>
        <w:rPr>
          <w:rFonts w:hint="eastAsia"/>
        </w:rPr>
        <w:t>%；先锋镇中重庆泰乐利农业有限公司产生量最多，为</w:t>
      </w:r>
      <w:r>
        <w:t>17.63</w:t>
      </w:r>
      <w:r>
        <w:rPr>
          <w:rFonts w:hint="eastAsia"/>
        </w:rPr>
        <w:t>吨/年，占先锋镇产生总量比例为</w:t>
      </w:r>
      <w:r>
        <w:t>27.28</w:t>
      </w:r>
      <w:r>
        <w:rPr>
          <w:rFonts w:hint="eastAsia"/>
        </w:rPr>
        <w:t>%；白沙镇中凯伦养殖场产生量最多，为</w:t>
      </w:r>
      <w:r>
        <w:t>14.45</w:t>
      </w:r>
      <w:r>
        <w:rPr>
          <w:rFonts w:hint="eastAsia"/>
        </w:rPr>
        <w:t>吨/年，占油溪镇产生总量比例为</w:t>
      </w:r>
      <w:r>
        <w:t>22.36</w:t>
      </w:r>
      <w:r>
        <w:rPr>
          <w:rFonts w:hint="eastAsia"/>
        </w:rPr>
        <w:t>%。</w:t>
      </w:r>
    </w:p>
    <w:p>
      <w:pPr>
        <w:ind w:firstLine="632"/>
      </w:pPr>
      <w:r>
        <w:rPr>
          <w:rFonts w:hint="eastAsia"/>
        </w:rPr>
        <w:t>TP产生量为</w:t>
      </w:r>
      <w:r>
        <w:t>522.89</w:t>
      </w:r>
      <w:r>
        <w:rPr>
          <w:rFonts w:hint="eastAsia"/>
        </w:rPr>
        <w:t>吨/年，主要来自于李市镇、白沙镇、吴滩镇，产生量分别为</w:t>
      </w:r>
      <w:r>
        <w:t>118.12</w:t>
      </w:r>
      <w:r>
        <w:rPr>
          <w:rFonts w:hint="eastAsia"/>
        </w:rPr>
        <w:t>吨/年、</w:t>
      </w:r>
      <w:r>
        <w:t>56.51</w:t>
      </w:r>
      <w:r>
        <w:rPr>
          <w:rFonts w:hint="eastAsia"/>
        </w:rPr>
        <w:t>吨/年、</w:t>
      </w:r>
      <w:r>
        <w:t>50.10</w:t>
      </w:r>
      <w:r>
        <w:rPr>
          <w:rFonts w:hint="eastAsia"/>
        </w:rPr>
        <w:t>吨/年，占比分别为</w:t>
      </w:r>
      <w:r>
        <w:t>22.59</w:t>
      </w:r>
      <w:r>
        <w:rPr>
          <w:rFonts w:hint="eastAsia"/>
        </w:rPr>
        <w:t>%、</w:t>
      </w:r>
      <w:r>
        <w:t>10.81</w:t>
      </w:r>
      <w:r>
        <w:rPr>
          <w:rFonts w:hint="eastAsia"/>
        </w:rPr>
        <w:t>%、</w:t>
      </w:r>
      <w:r>
        <w:t>9.58</w:t>
      </w:r>
      <w:r>
        <w:rPr>
          <w:rFonts w:hint="eastAsia"/>
        </w:rPr>
        <w:t>%；李市镇中重庆宏牧农业科技有限公司产生量最多，为</w:t>
      </w:r>
      <w:r>
        <w:t>33.98</w:t>
      </w:r>
      <w:r>
        <w:rPr>
          <w:rFonts w:hint="eastAsia"/>
        </w:rPr>
        <w:t>吨/年，占李市镇产生总量比例分别为</w:t>
      </w:r>
      <w:r>
        <w:t>28.77</w:t>
      </w:r>
      <w:r>
        <w:rPr>
          <w:rFonts w:hint="eastAsia"/>
        </w:rPr>
        <w:t>%；白沙镇中</w:t>
      </w:r>
      <w:bookmarkStart w:id="17" w:name="_Hlk77596588"/>
      <w:r>
        <w:rPr>
          <w:rFonts w:hint="eastAsia"/>
        </w:rPr>
        <w:t>凯伦养殖场产生量最多，为</w:t>
      </w:r>
      <w:r>
        <w:t>16.24</w:t>
      </w:r>
      <w:r>
        <w:rPr>
          <w:rFonts w:hint="eastAsia"/>
        </w:rPr>
        <w:t>吨/年，占油溪镇产生总量比例为</w:t>
      </w:r>
      <w:r>
        <w:t>28.95</w:t>
      </w:r>
      <w:r>
        <w:rPr>
          <w:rFonts w:hint="eastAsia"/>
        </w:rPr>
        <w:t>%</w:t>
      </w:r>
      <w:bookmarkEnd w:id="17"/>
      <w:r>
        <w:rPr>
          <w:rFonts w:hint="eastAsia"/>
        </w:rPr>
        <w:t>；吴滩镇中重庆帅荣农业发展有限公司产生量最多，为</w:t>
      </w:r>
      <w:r>
        <w:t>4.25</w:t>
      </w:r>
      <w:r>
        <w:rPr>
          <w:rFonts w:hint="eastAsia"/>
        </w:rPr>
        <w:t>吨/年，占吴滩镇产生总量比例为</w:t>
      </w:r>
      <w:r>
        <w:t>8.48</w:t>
      </w:r>
      <w:r>
        <w:rPr>
          <w:rFonts w:hint="eastAsia"/>
        </w:rPr>
        <w:t>%。</w:t>
      </w:r>
    </w:p>
    <w:p>
      <w:pPr>
        <w:ind w:firstLine="632"/>
      </w:pPr>
      <w:r>
        <w:rPr>
          <w:rFonts w:hint="eastAsia"/>
        </w:rPr>
        <w:t>TN产生量为</w:t>
      </w:r>
      <w:r>
        <w:t>1483.04</w:t>
      </w:r>
      <w:r>
        <w:rPr>
          <w:rFonts w:hint="eastAsia"/>
        </w:rPr>
        <w:t>吨/年，主要来自于李市镇、先锋镇、白沙镇产生量分别为</w:t>
      </w:r>
      <w:r>
        <w:t>351.76</w:t>
      </w:r>
      <w:r>
        <w:rPr>
          <w:rFonts w:hint="eastAsia"/>
        </w:rPr>
        <w:t>吨/年、</w:t>
      </w:r>
      <w:r>
        <w:t>146.38</w:t>
      </w:r>
      <w:r>
        <w:rPr>
          <w:rFonts w:hint="eastAsia"/>
        </w:rPr>
        <w:t>吨/年、</w:t>
      </w:r>
      <w:r>
        <w:t>134.61</w:t>
      </w:r>
      <w:r>
        <w:rPr>
          <w:rFonts w:hint="eastAsia"/>
        </w:rPr>
        <w:t>吨/年，占比分别为</w:t>
      </w:r>
      <w:r>
        <w:t>23.72</w:t>
      </w:r>
      <w:r>
        <w:rPr>
          <w:rFonts w:hint="eastAsia"/>
        </w:rPr>
        <w:t>%、</w:t>
      </w:r>
      <w:r>
        <w:t>9.87</w:t>
      </w:r>
      <w:r>
        <w:rPr>
          <w:rFonts w:hint="eastAsia"/>
        </w:rPr>
        <w:t>%、9</w:t>
      </w:r>
      <w:r>
        <w:t>.08</w:t>
      </w:r>
      <w:r>
        <w:rPr>
          <w:rFonts w:hint="eastAsia"/>
        </w:rPr>
        <w:t>%。李市镇中重庆宏牧农业科技有限公司产生量最多，为</w:t>
      </w:r>
      <w:r>
        <w:t>90.17</w:t>
      </w:r>
      <w:r>
        <w:rPr>
          <w:rFonts w:hint="eastAsia"/>
        </w:rPr>
        <w:t>吨/年，占李市镇产生总量比例为</w:t>
      </w:r>
      <w:r>
        <w:t>25.63</w:t>
      </w:r>
      <w:r>
        <w:rPr>
          <w:rFonts w:hint="eastAsia"/>
        </w:rPr>
        <w:t>%；先锋镇中重庆泰乐利农业有限公司产生量最多，为</w:t>
      </w:r>
      <w:r>
        <w:t>42.77</w:t>
      </w:r>
      <w:r>
        <w:rPr>
          <w:rFonts w:hint="eastAsia"/>
        </w:rPr>
        <w:t>吨/年，占先锋镇产生总量比例为</w:t>
      </w:r>
      <w:r>
        <w:t>31.77</w:t>
      </w:r>
      <w:r>
        <w:rPr>
          <w:rFonts w:hint="eastAsia"/>
        </w:rPr>
        <w:t>%；白沙镇中凯伦养殖场产生量最多，为</w:t>
      </w:r>
      <w:r>
        <w:t>29.76</w:t>
      </w:r>
      <w:r>
        <w:rPr>
          <w:rFonts w:hint="eastAsia"/>
        </w:rPr>
        <w:t>吨/年，占油溪镇产生总量比例为</w:t>
      </w:r>
      <w:r>
        <w:t>22.11</w:t>
      </w:r>
      <w:r>
        <w:rPr>
          <w:rFonts w:hint="eastAsia"/>
        </w:rPr>
        <w:t>%。</w:t>
      </w:r>
    </w:p>
    <w:p>
      <w:pPr>
        <w:ind w:firstLine="632"/>
      </w:pPr>
    </w:p>
    <w:p>
      <w:pPr>
        <w:ind w:firstLine="632"/>
        <w:sectPr>
          <w:footerReference r:id="rId15" w:type="default"/>
          <w:footerReference r:id="rId16" w:type="even"/>
          <w:pgSz w:w="11906" w:h="16838"/>
          <w:pgMar w:top="2098" w:right="1474" w:bottom="1985" w:left="1588" w:header="851" w:footer="992" w:gutter="0"/>
          <w:cols w:space="425" w:num="1"/>
          <w:docGrid w:type="linesAndChars" w:linePitch="579" w:charSpace="-849"/>
        </w:sect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2-11  </w:t>
      </w:r>
      <w:r>
        <w:rPr>
          <w:rFonts w:hint="eastAsia" w:eastAsia="方正黑体_GBK"/>
          <w:sz w:val="28"/>
          <w:szCs w:val="28"/>
        </w:rPr>
        <w:t>江津区各镇街畜禽粪便污染物产生情况</w:t>
      </w:r>
    </w:p>
    <w:tbl>
      <w:tblPr>
        <w:tblStyle w:val="10"/>
        <w:tblW w:w="14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417"/>
        <w:gridCol w:w="1276"/>
        <w:gridCol w:w="1417"/>
        <w:gridCol w:w="1134"/>
        <w:gridCol w:w="1418"/>
        <w:gridCol w:w="1134"/>
        <w:gridCol w:w="1417"/>
        <w:gridCol w:w="1276"/>
        <w:gridCol w:w="141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555" w:type="dxa"/>
            <w:vMerge w:val="restart"/>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镇街名称</w:t>
            </w:r>
          </w:p>
        </w:tc>
        <w:tc>
          <w:tcPr>
            <w:tcW w:w="2693" w:type="dxa"/>
            <w:gridSpan w:val="2"/>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eastAsia="方正黑体_GBK" w:cs="Arial"/>
                <w:kern w:val="0"/>
                <w:sz w:val="28"/>
                <w:szCs w:val="28"/>
              </w:rPr>
              <w:t>COD</w:t>
            </w:r>
          </w:p>
        </w:tc>
        <w:tc>
          <w:tcPr>
            <w:tcW w:w="2551" w:type="dxa"/>
            <w:gridSpan w:val="2"/>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eastAsia="方正黑体_GBK" w:cs="Arial"/>
                <w:kern w:val="0"/>
                <w:sz w:val="28"/>
                <w:szCs w:val="28"/>
              </w:rPr>
              <w:t>BOD</w:t>
            </w:r>
          </w:p>
        </w:tc>
        <w:tc>
          <w:tcPr>
            <w:tcW w:w="2552" w:type="dxa"/>
            <w:gridSpan w:val="2"/>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eastAsia="方正黑体_GBK" w:cs="Arial"/>
                <w:kern w:val="0"/>
                <w:sz w:val="28"/>
                <w:szCs w:val="28"/>
              </w:rPr>
              <w:t>NH</w:t>
            </w:r>
            <w:r>
              <w:rPr>
                <w:rFonts w:eastAsia="方正黑体_GBK" w:cs="Arial"/>
                <w:kern w:val="0"/>
                <w:sz w:val="28"/>
                <w:szCs w:val="28"/>
                <w:vertAlign w:val="subscript"/>
              </w:rPr>
              <w:t>3</w:t>
            </w:r>
            <w:r>
              <w:rPr>
                <w:rFonts w:eastAsia="方正黑体_GBK" w:cs="Arial"/>
                <w:kern w:val="0"/>
                <w:sz w:val="28"/>
                <w:szCs w:val="28"/>
              </w:rPr>
              <w:t>-N</w:t>
            </w:r>
          </w:p>
        </w:tc>
        <w:tc>
          <w:tcPr>
            <w:tcW w:w="2693" w:type="dxa"/>
            <w:gridSpan w:val="2"/>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eastAsia="方正黑体_GBK" w:cs="Arial"/>
                <w:kern w:val="0"/>
                <w:sz w:val="28"/>
                <w:szCs w:val="28"/>
              </w:rPr>
              <w:t>TP</w:t>
            </w:r>
          </w:p>
        </w:tc>
        <w:tc>
          <w:tcPr>
            <w:tcW w:w="2549" w:type="dxa"/>
            <w:gridSpan w:val="2"/>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eastAsia="方正黑体_GBK" w:cs="Arial"/>
                <w:kern w:val="0"/>
                <w:sz w:val="28"/>
                <w:szCs w:val="28"/>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555" w:type="dxa"/>
            <w:vMerge w:val="continue"/>
            <w:shd w:val="clear" w:color="auto" w:fill="auto"/>
            <w:noWrap/>
            <w:vAlign w:val="center"/>
          </w:tcPr>
          <w:p>
            <w:pPr>
              <w:widowControl/>
              <w:spacing w:line="300" w:lineRule="exact"/>
              <w:ind w:firstLine="0" w:firstLineChars="0"/>
              <w:jc w:val="center"/>
              <w:rPr>
                <w:rFonts w:eastAsia="方正黑体_GBK" w:cs="Arial"/>
                <w:kern w:val="0"/>
                <w:sz w:val="28"/>
                <w:szCs w:val="28"/>
              </w:rPr>
            </w:pPr>
          </w:p>
        </w:tc>
        <w:tc>
          <w:tcPr>
            <w:tcW w:w="1417"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产生量</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（吨</w:t>
            </w:r>
            <w:r>
              <w:rPr>
                <w:rFonts w:eastAsia="方正黑体_GBK" w:cs="Arial"/>
                <w:kern w:val="0"/>
                <w:sz w:val="28"/>
                <w:szCs w:val="28"/>
              </w:rPr>
              <w:t>/</w:t>
            </w:r>
            <w:r>
              <w:rPr>
                <w:rFonts w:hint="eastAsia" w:eastAsia="方正黑体_GBK" w:cs="Arial"/>
                <w:kern w:val="0"/>
                <w:sz w:val="28"/>
                <w:szCs w:val="28"/>
              </w:rPr>
              <w:t>年）</w:t>
            </w:r>
          </w:p>
        </w:tc>
        <w:tc>
          <w:tcPr>
            <w:tcW w:w="1276"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占比</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w:t>
            </w:r>
            <w:r>
              <w:rPr>
                <w:rFonts w:eastAsia="方正黑体_GBK" w:cs="Arial"/>
                <w:kern w:val="0"/>
                <w:sz w:val="28"/>
                <w:szCs w:val="28"/>
              </w:rPr>
              <w:t>%</w:t>
            </w:r>
            <w:r>
              <w:rPr>
                <w:rFonts w:hint="eastAsia" w:eastAsia="方正黑体_GBK" w:cs="Arial"/>
                <w:kern w:val="0"/>
                <w:sz w:val="28"/>
                <w:szCs w:val="28"/>
              </w:rPr>
              <w:t>）</w:t>
            </w:r>
          </w:p>
        </w:tc>
        <w:tc>
          <w:tcPr>
            <w:tcW w:w="1417"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产生量</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（吨</w:t>
            </w:r>
            <w:r>
              <w:rPr>
                <w:rFonts w:eastAsia="方正黑体_GBK" w:cs="Arial"/>
                <w:kern w:val="0"/>
                <w:sz w:val="28"/>
                <w:szCs w:val="28"/>
              </w:rPr>
              <w:t>/</w:t>
            </w:r>
            <w:r>
              <w:rPr>
                <w:rFonts w:hint="eastAsia" w:eastAsia="方正黑体_GBK" w:cs="Arial"/>
                <w:kern w:val="0"/>
                <w:sz w:val="28"/>
                <w:szCs w:val="28"/>
              </w:rPr>
              <w:t>年）</w:t>
            </w:r>
          </w:p>
        </w:tc>
        <w:tc>
          <w:tcPr>
            <w:tcW w:w="1134"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占比</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w:t>
            </w:r>
            <w:r>
              <w:rPr>
                <w:rFonts w:eastAsia="方正黑体_GBK" w:cs="Arial"/>
                <w:kern w:val="0"/>
                <w:sz w:val="28"/>
                <w:szCs w:val="28"/>
              </w:rPr>
              <w:t>%</w:t>
            </w:r>
            <w:r>
              <w:rPr>
                <w:rFonts w:hint="eastAsia" w:eastAsia="方正黑体_GBK" w:cs="Arial"/>
                <w:kern w:val="0"/>
                <w:sz w:val="28"/>
                <w:szCs w:val="28"/>
              </w:rPr>
              <w:t>）</w:t>
            </w:r>
          </w:p>
        </w:tc>
        <w:tc>
          <w:tcPr>
            <w:tcW w:w="1418"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产生量</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（吨</w:t>
            </w:r>
            <w:r>
              <w:rPr>
                <w:rFonts w:eastAsia="方正黑体_GBK" w:cs="Arial"/>
                <w:kern w:val="0"/>
                <w:sz w:val="28"/>
                <w:szCs w:val="28"/>
              </w:rPr>
              <w:t>/</w:t>
            </w:r>
            <w:r>
              <w:rPr>
                <w:rFonts w:hint="eastAsia" w:eastAsia="方正黑体_GBK" w:cs="Arial"/>
                <w:kern w:val="0"/>
                <w:sz w:val="28"/>
                <w:szCs w:val="28"/>
              </w:rPr>
              <w:t>年）</w:t>
            </w:r>
          </w:p>
        </w:tc>
        <w:tc>
          <w:tcPr>
            <w:tcW w:w="1134"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占比</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w:t>
            </w:r>
            <w:r>
              <w:rPr>
                <w:rFonts w:eastAsia="方正黑体_GBK" w:cs="Arial"/>
                <w:kern w:val="0"/>
                <w:sz w:val="28"/>
                <w:szCs w:val="28"/>
              </w:rPr>
              <w:t>%</w:t>
            </w:r>
            <w:r>
              <w:rPr>
                <w:rFonts w:hint="eastAsia" w:eastAsia="方正黑体_GBK" w:cs="Arial"/>
                <w:kern w:val="0"/>
                <w:sz w:val="28"/>
                <w:szCs w:val="28"/>
              </w:rPr>
              <w:t>）</w:t>
            </w:r>
          </w:p>
        </w:tc>
        <w:tc>
          <w:tcPr>
            <w:tcW w:w="1417"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产生量</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（吨</w:t>
            </w:r>
            <w:r>
              <w:rPr>
                <w:rFonts w:eastAsia="方正黑体_GBK" w:cs="Arial"/>
                <w:kern w:val="0"/>
                <w:sz w:val="28"/>
                <w:szCs w:val="28"/>
              </w:rPr>
              <w:t>/</w:t>
            </w:r>
            <w:r>
              <w:rPr>
                <w:rFonts w:hint="eastAsia" w:eastAsia="方正黑体_GBK" w:cs="Arial"/>
                <w:kern w:val="0"/>
                <w:sz w:val="28"/>
                <w:szCs w:val="28"/>
              </w:rPr>
              <w:t>年）</w:t>
            </w:r>
          </w:p>
        </w:tc>
        <w:tc>
          <w:tcPr>
            <w:tcW w:w="1276"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占比</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w:t>
            </w:r>
            <w:r>
              <w:rPr>
                <w:rFonts w:eastAsia="方正黑体_GBK" w:cs="Arial"/>
                <w:kern w:val="0"/>
                <w:sz w:val="28"/>
                <w:szCs w:val="28"/>
              </w:rPr>
              <w:t>%</w:t>
            </w:r>
            <w:r>
              <w:rPr>
                <w:rFonts w:hint="eastAsia" w:eastAsia="方正黑体_GBK" w:cs="Arial"/>
                <w:kern w:val="0"/>
                <w:sz w:val="28"/>
                <w:szCs w:val="28"/>
              </w:rPr>
              <w:t>）</w:t>
            </w:r>
          </w:p>
        </w:tc>
        <w:tc>
          <w:tcPr>
            <w:tcW w:w="1418"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产生量</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（吨</w:t>
            </w:r>
            <w:r>
              <w:rPr>
                <w:rFonts w:eastAsia="方正黑体_GBK" w:cs="Arial"/>
                <w:kern w:val="0"/>
                <w:sz w:val="28"/>
                <w:szCs w:val="28"/>
              </w:rPr>
              <w:t>/</w:t>
            </w:r>
            <w:r>
              <w:rPr>
                <w:rFonts w:hint="eastAsia" w:eastAsia="方正黑体_GBK" w:cs="Arial"/>
                <w:kern w:val="0"/>
                <w:sz w:val="28"/>
                <w:szCs w:val="28"/>
              </w:rPr>
              <w:t>年）</w:t>
            </w:r>
          </w:p>
        </w:tc>
        <w:tc>
          <w:tcPr>
            <w:tcW w:w="1131" w:type="dxa"/>
            <w:shd w:val="clear" w:color="auto" w:fill="auto"/>
            <w:noWrap/>
            <w:vAlign w:val="center"/>
          </w:tcPr>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占比</w:t>
            </w:r>
          </w:p>
          <w:p>
            <w:pPr>
              <w:widowControl/>
              <w:spacing w:line="300" w:lineRule="exact"/>
              <w:ind w:firstLine="0" w:firstLineChars="0"/>
              <w:jc w:val="center"/>
              <w:rPr>
                <w:rFonts w:eastAsia="方正黑体_GBK" w:cs="Arial"/>
                <w:kern w:val="0"/>
                <w:sz w:val="28"/>
                <w:szCs w:val="28"/>
              </w:rPr>
            </w:pPr>
            <w:r>
              <w:rPr>
                <w:rFonts w:hint="eastAsia" w:eastAsia="方正黑体_GBK" w:cs="Arial"/>
                <w:kern w:val="0"/>
                <w:sz w:val="28"/>
                <w:szCs w:val="28"/>
              </w:rPr>
              <w:t>（</w:t>
            </w:r>
            <w:r>
              <w:rPr>
                <w:rFonts w:eastAsia="方正黑体_GBK" w:cs="Arial"/>
                <w:kern w:val="0"/>
                <w:sz w:val="28"/>
                <w:szCs w:val="28"/>
              </w:rPr>
              <w:t>%</w:t>
            </w:r>
            <w:r>
              <w:rPr>
                <w:rFonts w:hint="eastAsia" w:eastAsia="方正黑体_GBK" w:cs="Arial"/>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白沙镇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740.45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9.89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731.06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10.31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62.75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9.35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56.51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10.81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134.61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柏林镇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194.25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2.60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186.83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2.64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16.29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12.59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35.22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蔡家镇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130.70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1.75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124.61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11.26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1.68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8.56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24.49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慈云镇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214.16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2.86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178.28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2.52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20.95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3.12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10.53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2.01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49.30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德感街道</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581.87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7.77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548.90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7.74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53.96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8.04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41.20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7.88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117.89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杜市镇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89.74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87.32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1.23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7.35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6.03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16.42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广兴镇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23.83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21.98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1.80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0.27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2.31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0.44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6.16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几江街道</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107.84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104.24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1.47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10.90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9.46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1.81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23.70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嘉平镇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76.63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74.83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6.20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0.92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4.89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0.94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12.98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贾嗣镇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191.68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2.56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191.64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2.70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16.86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2.51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15.35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2.94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35.77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李市镇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1686.74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22.54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1568.65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22.13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157.11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23.42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118.12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22.59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351.76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龙华镇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263.72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3.52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240.98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3.40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24.25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3.61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16.41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3.14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54.00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珞璜镇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56.68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0.76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55.34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0.78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4.59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0.68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3.62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0.69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9.60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圣泉街道</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123.64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1.65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121.92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10.35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8.65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21.62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石蟆镇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166.35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156.60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2.21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14.62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2.18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11.80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34.99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2.36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石门镇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52.30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0.70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47.09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0.66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5.00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0.75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3.33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0.64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11.27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双福街道</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27.72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26.02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0.37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2.23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1.78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5.03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四面山镇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9.81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8.75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0.88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0.53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1.99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四屏镇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1.37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1.33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0.11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0.02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0.10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0.30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塘河镇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200.02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2.67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195.35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2.76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16.20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2.41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12.80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33.91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吴滩镇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733.30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9.80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719.30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10.15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60.96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9.09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50.10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9.58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128.77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西湖镇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217.49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2.91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208.26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2.94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18.57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2.77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14.90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2.85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42.33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夏坝镇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133.56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1.78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124.57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1.76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11.42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7.83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24.91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先锋镇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677.53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9.05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613.38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8.65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64.63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9.63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44.82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8.57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146.38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永兴镇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99.36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1.33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95.80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9.82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1.46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8.47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21.67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油溪镇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481.96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6.44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460.99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6.50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44.76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6.67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38.45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7.35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100.16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支坪镇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132.40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1.77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129.31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1.82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10.72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8.47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1.62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22.45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中山镇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6.39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0.09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6.24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0.09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0.52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0.08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0.41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0.08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1.08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朱杨镇</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63.05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0.84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57.89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0.82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5.75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0.86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4.87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0.93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14.27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0.96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55" w:type="dxa"/>
            <w:shd w:val="clear" w:color="auto" w:fill="auto"/>
            <w:noWrap/>
            <w:vAlign w:val="center"/>
          </w:tcPr>
          <w:p>
            <w:pPr>
              <w:spacing w:line="300" w:lineRule="exact"/>
              <w:ind w:firstLine="0" w:firstLineChars="0"/>
              <w:jc w:val="center"/>
              <w:rPr>
                <w:rFonts w:ascii="方正仿宋_GBK" w:hAnsi="Arial" w:cs="Arial"/>
                <w:sz w:val="24"/>
                <w:szCs w:val="24"/>
              </w:rPr>
            </w:pPr>
            <w:r>
              <w:rPr>
                <w:rFonts w:hint="eastAsia" w:ascii="方正仿宋_GBK" w:hAnsi="Arial" w:cs="Arial"/>
                <w:sz w:val="24"/>
                <w:szCs w:val="24"/>
              </w:rPr>
              <w:t>总计</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7484.53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100.00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7087.48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100.00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670.84 </w:t>
            </w:r>
          </w:p>
        </w:tc>
        <w:tc>
          <w:tcPr>
            <w:tcW w:w="1134"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100.00 </w:t>
            </w:r>
          </w:p>
        </w:tc>
        <w:tc>
          <w:tcPr>
            <w:tcW w:w="1417"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522.89 </w:t>
            </w:r>
          </w:p>
        </w:tc>
        <w:tc>
          <w:tcPr>
            <w:tcW w:w="1276"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100.00 </w:t>
            </w:r>
          </w:p>
        </w:tc>
        <w:tc>
          <w:tcPr>
            <w:tcW w:w="1418"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1483.04 </w:t>
            </w:r>
          </w:p>
        </w:tc>
        <w:tc>
          <w:tcPr>
            <w:tcW w:w="1131" w:type="dxa"/>
            <w:shd w:val="clear" w:color="auto" w:fill="auto"/>
            <w:noWrap/>
            <w:vAlign w:val="center"/>
          </w:tcPr>
          <w:p>
            <w:pPr>
              <w:spacing w:line="300" w:lineRule="exact"/>
              <w:ind w:firstLine="0" w:firstLineChars="0"/>
              <w:jc w:val="center"/>
              <w:rPr>
                <w:rFonts w:cs="Times New Roman"/>
                <w:sz w:val="24"/>
                <w:szCs w:val="24"/>
              </w:rPr>
            </w:pPr>
            <w:r>
              <w:rPr>
                <w:rFonts w:cs="Times New Roman"/>
                <w:sz w:val="24"/>
                <w:szCs w:val="24"/>
              </w:rPr>
              <w:t xml:space="preserve">100.00 </w:t>
            </w:r>
          </w:p>
        </w:tc>
      </w:tr>
    </w:tbl>
    <w:p>
      <w:pPr>
        <w:spacing w:line="300" w:lineRule="exact"/>
        <w:ind w:firstLine="0" w:firstLineChars="0"/>
        <w:jc w:val="center"/>
        <w:rPr>
          <w:rFonts w:ascii="方正仿宋_GBK" w:hAnsi="Arial" w:cs="Arial"/>
          <w:sz w:val="24"/>
          <w:szCs w:val="24"/>
        </w:rPr>
      </w:pPr>
    </w:p>
    <w:p>
      <w:pPr>
        <w:ind w:firstLine="632"/>
        <w:jc w:val="center"/>
      </w:pPr>
      <w:r>
        <w:drawing>
          <wp:inline distT="0" distB="0" distL="0" distR="0">
            <wp:extent cx="6728460" cy="5135245"/>
            <wp:effectExtent l="0" t="0" r="15240" b="825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tabs>
          <w:tab w:val="left" w:pos="1580"/>
        </w:tabs>
        <w:spacing w:line="560" w:lineRule="exact"/>
        <w:ind w:firstLine="0" w:firstLineChars="0"/>
        <w:jc w:val="center"/>
        <w:rPr>
          <w:rFonts w:eastAsia="方正黑体_GBK"/>
          <w:sz w:val="28"/>
          <w:szCs w:val="28"/>
        </w:rPr>
        <w:sectPr>
          <w:pgSz w:w="16838" w:h="11906" w:orient="landscape"/>
          <w:pgMar w:top="1588" w:right="2098" w:bottom="1474" w:left="1985" w:header="851" w:footer="992" w:gutter="0"/>
          <w:cols w:space="425" w:num="1"/>
          <w:docGrid w:type="linesAndChars" w:linePitch="579" w:charSpace="-849"/>
        </w:sectPr>
      </w:pPr>
      <w:r>
        <w:rPr>
          <w:rFonts w:hint="eastAsia" w:eastAsia="方正黑体_GBK"/>
          <w:sz w:val="28"/>
          <w:szCs w:val="28"/>
        </w:rPr>
        <w:t>图</w:t>
      </w:r>
      <w:r>
        <w:rPr>
          <w:rFonts w:eastAsia="方正黑体_GBK"/>
          <w:sz w:val="28"/>
          <w:szCs w:val="28"/>
        </w:rPr>
        <w:t xml:space="preserve">2-4  </w:t>
      </w:r>
      <w:r>
        <w:rPr>
          <w:rFonts w:hint="eastAsia" w:eastAsia="方正黑体_GBK"/>
          <w:sz w:val="28"/>
          <w:szCs w:val="28"/>
        </w:rPr>
        <w:t>江津区各镇街畜禽粪便C</w:t>
      </w:r>
      <w:r>
        <w:rPr>
          <w:rFonts w:eastAsia="方正黑体_GBK"/>
          <w:sz w:val="28"/>
          <w:szCs w:val="28"/>
        </w:rPr>
        <w:t>OD</w:t>
      </w:r>
      <w:r>
        <w:rPr>
          <w:rFonts w:hint="eastAsia" w:eastAsia="方正黑体_GBK"/>
          <w:sz w:val="28"/>
          <w:szCs w:val="28"/>
        </w:rPr>
        <w:t>产生情况图</w:t>
      </w:r>
    </w:p>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65408" behindDoc="0" locked="0" layoutInCell="1" allowOverlap="1">
            <wp:simplePos x="0" y="0"/>
            <wp:positionH relativeFrom="margin">
              <wp:posOffset>911225</wp:posOffset>
            </wp:positionH>
            <wp:positionV relativeFrom="margin">
              <wp:posOffset>135255</wp:posOffset>
            </wp:positionV>
            <wp:extent cx="6753225" cy="4890770"/>
            <wp:effectExtent l="0" t="0" r="9525" b="5080"/>
            <wp:wrapTopAndBottom/>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Pr>
          <w:rFonts w:hint="eastAsia" w:eastAsia="方正黑体_GBK"/>
          <w:sz w:val="28"/>
          <w:szCs w:val="28"/>
        </w:rPr>
        <w:t>图</w:t>
      </w:r>
      <w:r>
        <w:rPr>
          <w:rFonts w:eastAsia="方正黑体_GBK"/>
          <w:sz w:val="28"/>
          <w:szCs w:val="28"/>
        </w:rPr>
        <w:t xml:space="preserve">2-5  </w:t>
      </w:r>
      <w:r>
        <w:rPr>
          <w:rFonts w:hint="eastAsia" w:eastAsia="方正黑体_GBK"/>
          <w:sz w:val="28"/>
          <w:szCs w:val="28"/>
        </w:rPr>
        <w:t>江津区各镇街畜禽粪便</w:t>
      </w:r>
      <w:r>
        <w:rPr>
          <w:rFonts w:eastAsia="方正黑体_GBK"/>
          <w:sz w:val="28"/>
          <w:szCs w:val="28"/>
        </w:rPr>
        <w:t>BOD</w:t>
      </w:r>
      <w:r>
        <w:rPr>
          <w:rFonts w:hint="eastAsia" w:eastAsia="方正黑体_GBK"/>
          <w:sz w:val="28"/>
          <w:szCs w:val="28"/>
        </w:rPr>
        <w:t>产生情况图</w:t>
      </w:r>
    </w:p>
    <w:p>
      <w:pPr>
        <w:tabs>
          <w:tab w:val="left" w:pos="1580"/>
        </w:tabs>
        <w:spacing w:line="560" w:lineRule="exact"/>
        <w:ind w:firstLine="0" w:firstLineChars="0"/>
        <w:rPr>
          <w:rFonts w:eastAsia="方正黑体_GBK"/>
          <w:sz w:val="28"/>
          <w:szCs w:val="28"/>
        </w:rPr>
        <w:sectPr>
          <w:pgSz w:w="16838" w:h="11906" w:orient="landscape"/>
          <w:pgMar w:top="1588" w:right="2098" w:bottom="1474" w:left="1985" w:header="851" w:footer="992" w:gutter="0"/>
          <w:cols w:space="425" w:num="1"/>
          <w:docGrid w:type="linesAndChars" w:linePitch="579" w:charSpace="-849"/>
        </w:sectPr>
      </w:pPr>
    </w:p>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62336" behindDoc="0" locked="0" layoutInCell="1" allowOverlap="1">
            <wp:simplePos x="0" y="0"/>
            <wp:positionH relativeFrom="margin">
              <wp:posOffset>920750</wp:posOffset>
            </wp:positionH>
            <wp:positionV relativeFrom="margin">
              <wp:posOffset>1905</wp:posOffset>
            </wp:positionV>
            <wp:extent cx="6343650" cy="5123815"/>
            <wp:effectExtent l="0" t="0" r="0" b="635"/>
            <wp:wrapTopAndBottom/>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hint="eastAsia" w:eastAsia="方正黑体_GBK"/>
          <w:sz w:val="28"/>
          <w:szCs w:val="28"/>
        </w:rPr>
        <w:t>图</w:t>
      </w:r>
      <w:r>
        <w:rPr>
          <w:rFonts w:eastAsia="方正黑体_GBK"/>
          <w:sz w:val="28"/>
          <w:szCs w:val="28"/>
        </w:rPr>
        <w:t xml:space="preserve">2-6  </w:t>
      </w:r>
      <w:r>
        <w:rPr>
          <w:rFonts w:hint="eastAsia" w:eastAsia="方正黑体_GBK"/>
          <w:sz w:val="28"/>
          <w:szCs w:val="28"/>
        </w:rPr>
        <w:t>江津区各镇街畜禽粪便</w:t>
      </w:r>
      <w:r>
        <w:rPr>
          <w:rFonts w:eastAsia="方正黑体_GBK"/>
          <w:sz w:val="28"/>
          <w:szCs w:val="28"/>
        </w:rPr>
        <w:t>NH</w:t>
      </w:r>
      <w:r>
        <w:rPr>
          <w:rFonts w:eastAsia="方正黑体_GBK"/>
          <w:sz w:val="28"/>
          <w:szCs w:val="28"/>
          <w:vertAlign w:val="subscript"/>
        </w:rPr>
        <w:t>3</w:t>
      </w:r>
      <w:r>
        <w:rPr>
          <w:rFonts w:eastAsia="方正黑体_GBK"/>
          <w:sz w:val="28"/>
          <w:szCs w:val="28"/>
        </w:rPr>
        <w:t>-N</w:t>
      </w:r>
      <w:r>
        <w:rPr>
          <w:rFonts w:hint="eastAsia" w:eastAsia="方正黑体_GBK"/>
          <w:sz w:val="28"/>
          <w:szCs w:val="28"/>
        </w:rPr>
        <w:t>产生情况图</w:t>
      </w:r>
    </w:p>
    <w:p>
      <w:pPr>
        <w:tabs>
          <w:tab w:val="left" w:pos="1580"/>
        </w:tabs>
        <w:spacing w:line="560" w:lineRule="exact"/>
        <w:ind w:firstLine="0" w:firstLineChars="0"/>
        <w:jc w:val="center"/>
        <w:rPr>
          <w:rFonts w:eastAsia="方正黑体_GBK"/>
          <w:sz w:val="28"/>
          <w:szCs w:val="28"/>
        </w:rPr>
        <w:sectPr>
          <w:pgSz w:w="16838" w:h="11906" w:orient="landscape"/>
          <w:pgMar w:top="1588" w:right="2098" w:bottom="1474" w:left="1985" w:header="851" w:footer="992" w:gutter="0"/>
          <w:cols w:space="425" w:num="1"/>
          <w:docGrid w:type="linesAndChars" w:linePitch="579" w:charSpace="-849"/>
        </w:sectPr>
      </w:pPr>
    </w:p>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63360" behindDoc="0" locked="0" layoutInCell="1" allowOverlap="1">
            <wp:simplePos x="0" y="0"/>
            <wp:positionH relativeFrom="margin">
              <wp:posOffset>817880</wp:posOffset>
            </wp:positionH>
            <wp:positionV relativeFrom="margin">
              <wp:posOffset>198755</wp:posOffset>
            </wp:positionV>
            <wp:extent cx="6457950" cy="4839335"/>
            <wp:effectExtent l="0" t="0" r="0" b="18415"/>
            <wp:wrapTopAndBottom/>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rFonts w:hint="eastAsia" w:eastAsia="方正黑体_GBK"/>
          <w:sz w:val="28"/>
          <w:szCs w:val="28"/>
        </w:rPr>
        <w:t>图</w:t>
      </w:r>
      <w:r>
        <w:rPr>
          <w:rFonts w:eastAsia="方正黑体_GBK"/>
          <w:sz w:val="28"/>
          <w:szCs w:val="28"/>
        </w:rPr>
        <w:t xml:space="preserve">2-7  </w:t>
      </w:r>
      <w:r>
        <w:rPr>
          <w:rFonts w:hint="eastAsia" w:eastAsia="方正黑体_GBK"/>
          <w:sz w:val="28"/>
          <w:szCs w:val="28"/>
        </w:rPr>
        <w:t>江津区各镇街畜禽粪便</w:t>
      </w:r>
      <w:r>
        <w:rPr>
          <w:rFonts w:eastAsia="方正黑体_GBK"/>
          <w:sz w:val="28"/>
          <w:szCs w:val="28"/>
        </w:rPr>
        <w:t>TP</w:t>
      </w:r>
      <w:r>
        <w:rPr>
          <w:rFonts w:hint="eastAsia" w:eastAsia="方正黑体_GBK"/>
          <w:sz w:val="28"/>
          <w:szCs w:val="28"/>
        </w:rPr>
        <w:t>产生情况图</w:t>
      </w:r>
    </w:p>
    <w:p>
      <w:pPr>
        <w:tabs>
          <w:tab w:val="left" w:pos="1580"/>
        </w:tabs>
        <w:spacing w:line="560" w:lineRule="exact"/>
        <w:ind w:firstLine="0" w:firstLineChars="0"/>
        <w:jc w:val="center"/>
        <w:rPr>
          <w:rFonts w:eastAsia="方正黑体_GBK"/>
          <w:sz w:val="28"/>
          <w:szCs w:val="28"/>
        </w:rPr>
        <w:sectPr>
          <w:pgSz w:w="16838" w:h="11906" w:orient="landscape"/>
          <w:pgMar w:top="1588" w:right="2098" w:bottom="1474" w:left="1985" w:header="851" w:footer="992" w:gutter="0"/>
          <w:cols w:space="425" w:num="1"/>
          <w:docGrid w:type="linesAndChars" w:linePitch="579" w:charSpace="-849"/>
        </w:sectPr>
      </w:pPr>
    </w:p>
    <w:p>
      <w:pPr>
        <w:tabs>
          <w:tab w:val="left" w:pos="1580"/>
        </w:tabs>
        <w:spacing w:line="560" w:lineRule="exact"/>
        <w:ind w:firstLine="0" w:firstLineChars="0"/>
        <w:jc w:val="center"/>
        <w:rPr>
          <w:rFonts w:eastAsia="方正黑体_GBK"/>
          <w:sz w:val="28"/>
          <w:szCs w:val="28"/>
        </w:rPr>
      </w:pPr>
      <w:r>
        <w:drawing>
          <wp:anchor distT="0" distB="0" distL="114300" distR="114300" simplePos="0" relativeHeight="251664384" behindDoc="0" locked="0" layoutInCell="1" allowOverlap="1">
            <wp:simplePos x="0" y="0"/>
            <wp:positionH relativeFrom="margin">
              <wp:posOffset>777875</wp:posOffset>
            </wp:positionH>
            <wp:positionV relativeFrom="margin">
              <wp:posOffset>49530</wp:posOffset>
            </wp:positionV>
            <wp:extent cx="6887845" cy="5184140"/>
            <wp:effectExtent l="0" t="0" r="8255" b="16510"/>
            <wp:wrapTopAndBottom/>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hint="eastAsia" w:eastAsia="方正黑体_GBK"/>
          <w:sz w:val="28"/>
          <w:szCs w:val="28"/>
        </w:rPr>
        <w:t>图</w:t>
      </w:r>
      <w:r>
        <w:rPr>
          <w:rFonts w:eastAsia="方正黑体_GBK"/>
          <w:sz w:val="28"/>
          <w:szCs w:val="28"/>
        </w:rPr>
        <w:t xml:space="preserve">2-8  </w:t>
      </w:r>
      <w:r>
        <w:rPr>
          <w:rFonts w:hint="eastAsia" w:eastAsia="方正黑体_GBK"/>
          <w:sz w:val="28"/>
          <w:szCs w:val="28"/>
        </w:rPr>
        <w:t>江津区各镇街畜禽粪便</w:t>
      </w:r>
      <w:r>
        <w:rPr>
          <w:rFonts w:eastAsia="方正黑体_GBK"/>
          <w:sz w:val="28"/>
          <w:szCs w:val="28"/>
        </w:rPr>
        <w:t>TN</w:t>
      </w:r>
      <w:r>
        <w:rPr>
          <w:rFonts w:hint="eastAsia" w:eastAsia="方正黑体_GBK"/>
          <w:sz w:val="28"/>
          <w:szCs w:val="28"/>
        </w:rPr>
        <w:t>产生情况图</w:t>
      </w:r>
    </w:p>
    <w:p>
      <w:pPr>
        <w:tabs>
          <w:tab w:val="left" w:pos="1580"/>
        </w:tabs>
        <w:spacing w:line="560" w:lineRule="exact"/>
        <w:ind w:firstLine="0" w:firstLineChars="0"/>
        <w:jc w:val="center"/>
        <w:rPr>
          <w:rFonts w:eastAsia="方正黑体_GBK"/>
          <w:sz w:val="28"/>
          <w:szCs w:val="28"/>
        </w:rPr>
        <w:sectPr>
          <w:pgSz w:w="16838" w:h="11906" w:orient="landscape"/>
          <w:pgMar w:top="1588" w:right="2098" w:bottom="1474" w:left="1985" w:header="851" w:footer="992" w:gutter="0"/>
          <w:cols w:space="425" w:num="1"/>
          <w:docGrid w:type="linesAndChars" w:linePitch="579" w:charSpace="-849"/>
        </w:sect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2-12  </w:t>
      </w:r>
      <w:r>
        <w:rPr>
          <w:rFonts w:hint="eastAsia" w:eastAsia="方正黑体_GBK"/>
          <w:sz w:val="28"/>
          <w:szCs w:val="28"/>
        </w:rPr>
        <w:t>江津区不同规模畜禽养殖场粪便污染物产生情况</w:t>
      </w:r>
    </w:p>
    <w:tbl>
      <w:tblPr>
        <w:tblStyle w:val="10"/>
        <w:tblW w:w="60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670"/>
        <w:gridCol w:w="1247"/>
        <w:gridCol w:w="1617"/>
        <w:gridCol w:w="1298"/>
        <w:gridCol w:w="1667"/>
        <w:gridCol w:w="1253"/>
        <w:gridCol w:w="1667"/>
        <w:gridCol w:w="1250"/>
        <w:gridCol w:w="1664"/>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394" w:type="pct"/>
            <w:vMerge w:val="restar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规模</w:t>
            </w:r>
          </w:p>
        </w:tc>
        <w:tc>
          <w:tcPr>
            <w:tcW w:w="922" w:type="pct"/>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COD</w:t>
            </w:r>
          </w:p>
        </w:tc>
        <w:tc>
          <w:tcPr>
            <w:tcW w:w="921" w:type="pct"/>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BOD</w:t>
            </w:r>
          </w:p>
        </w:tc>
        <w:tc>
          <w:tcPr>
            <w:tcW w:w="923" w:type="pct"/>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NH</w:t>
            </w:r>
            <w:r>
              <w:rPr>
                <w:rFonts w:eastAsia="方正黑体_GBK" w:cs="Arial"/>
                <w:kern w:val="0"/>
                <w:sz w:val="24"/>
                <w:szCs w:val="24"/>
                <w:vertAlign w:val="subscript"/>
              </w:rPr>
              <w:t>3</w:t>
            </w:r>
            <w:r>
              <w:rPr>
                <w:rFonts w:eastAsia="方正黑体_GBK" w:cs="Arial"/>
                <w:kern w:val="0"/>
                <w:sz w:val="24"/>
                <w:szCs w:val="24"/>
              </w:rPr>
              <w:t>-N</w:t>
            </w:r>
          </w:p>
        </w:tc>
        <w:tc>
          <w:tcPr>
            <w:tcW w:w="922" w:type="pct"/>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TP</w:t>
            </w:r>
          </w:p>
        </w:tc>
        <w:tc>
          <w:tcPr>
            <w:tcW w:w="918" w:type="pct"/>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394" w:type="pct"/>
            <w:vMerge w:val="continue"/>
            <w:shd w:val="clear" w:color="auto" w:fill="auto"/>
            <w:noWrap/>
            <w:vAlign w:val="center"/>
          </w:tcPr>
          <w:p>
            <w:pPr>
              <w:widowControl/>
              <w:spacing w:line="300" w:lineRule="exact"/>
              <w:ind w:firstLine="0" w:firstLineChars="0"/>
              <w:jc w:val="center"/>
              <w:rPr>
                <w:rFonts w:eastAsia="方正黑体_GBK" w:cs="Arial"/>
                <w:kern w:val="0"/>
                <w:sz w:val="24"/>
                <w:szCs w:val="24"/>
              </w:rPr>
            </w:pPr>
          </w:p>
        </w:tc>
        <w:tc>
          <w:tcPr>
            <w:tcW w:w="528"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394"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r>
              <w:rPr>
                <w:rFonts w:eastAsia="方正黑体_GBK" w:cs="Arial"/>
                <w:kern w:val="0"/>
                <w:sz w:val="24"/>
                <w:szCs w:val="24"/>
              </w:rPr>
              <w:t>%</w:t>
            </w:r>
            <w:r>
              <w:rPr>
                <w:rFonts w:hint="eastAsia" w:eastAsia="方正黑体_GBK" w:cs="Arial"/>
                <w:kern w:val="0"/>
                <w:sz w:val="24"/>
                <w:szCs w:val="24"/>
              </w:rPr>
              <w:t>）</w:t>
            </w:r>
          </w:p>
        </w:tc>
        <w:tc>
          <w:tcPr>
            <w:tcW w:w="511"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410"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r>
              <w:rPr>
                <w:rFonts w:eastAsia="方正黑体_GBK" w:cs="Arial"/>
                <w:kern w:val="0"/>
                <w:sz w:val="24"/>
                <w:szCs w:val="24"/>
              </w:rPr>
              <w:t>%</w:t>
            </w:r>
            <w:r>
              <w:rPr>
                <w:rFonts w:hint="eastAsia" w:eastAsia="方正黑体_GBK" w:cs="Arial"/>
                <w:kern w:val="0"/>
                <w:sz w:val="24"/>
                <w:szCs w:val="24"/>
              </w:rPr>
              <w:t>）</w:t>
            </w:r>
          </w:p>
        </w:tc>
        <w:tc>
          <w:tcPr>
            <w:tcW w:w="527"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396"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r>
              <w:rPr>
                <w:rFonts w:eastAsia="方正黑体_GBK" w:cs="Arial"/>
                <w:kern w:val="0"/>
                <w:sz w:val="24"/>
                <w:szCs w:val="24"/>
              </w:rPr>
              <w:t>%</w:t>
            </w:r>
            <w:r>
              <w:rPr>
                <w:rFonts w:hint="eastAsia" w:eastAsia="方正黑体_GBK" w:cs="Arial"/>
                <w:kern w:val="0"/>
                <w:sz w:val="24"/>
                <w:szCs w:val="24"/>
              </w:rPr>
              <w:t>）</w:t>
            </w:r>
          </w:p>
        </w:tc>
        <w:tc>
          <w:tcPr>
            <w:tcW w:w="527"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395"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r>
              <w:rPr>
                <w:rFonts w:eastAsia="方正黑体_GBK" w:cs="Arial"/>
                <w:kern w:val="0"/>
                <w:sz w:val="24"/>
                <w:szCs w:val="24"/>
              </w:rPr>
              <w:t>%</w:t>
            </w:r>
            <w:r>
              <w:rPr>
                <w:rFonts w:hint="eastAsia" w:eastAsia="方正黑体_GBK" w:cs="Arial"/>
                <w:kern w:val="0"/>
                <w:sz w:val="24"/>
                <w:szCs w:val="24"/>
              </w:rPr>
              <w:t>）</w:t>
            </w:r>
          </w:p>
        </w:tc>
        <w:tc>
          <w:tcPr>
            <w:tcW w:w="526"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392" w:type="pc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r>
              <w:rPr>
                <w:rFonts w:eastAsia="方正黑体_GBK" w:cs="Arial"/>
                <w:kern w:val="0"/>
                <w:sz w:val="24"/>
                <w:szCs w:val="24"/>
              </w:rPr>
              <w:t>%</w:t>
            </w:r>
            <w:r>
              <w:rPr>
                <w:rFonts w:hint="eastAsia" w:eastAsia="方正黑体_GBK" w:cs="Arial"/>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规模化畜禽养殖场</w:t>
            </w:r>
          </w:p>
        </w:tc>
        <w:tc>
          <w:tcPr>
            <w:tcW w:w="528"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3693.90 </w:t>
            </w:r>
          </w:p>
        </w:tc>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49.35 </w:t>
            </w:r>
          </w:p>
        </w:tc>
        <w:tc>
          <w:tcPr>
            <w:tcW w:w="511"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3432.18 </w:t>
            </w:r>
          </w:p>
        </w:tc>
        <w:tc>
          <w:tcPr>
            <w:tcW w:w="410"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48.43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320.39 </w:t>
            </w:r>
          </w:p>
        </w:tc>
        <w:tc>
          <w:tcPr>
            <w:tcW w:w="39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47.76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219.20 </w:t>
            </w:r>
          </w:p>
        </w:tc>
        <w:tc>
          <w:tcPr>
            <w:tcW w:w="395"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41.92 </w:t>
            </w:r>
          </w:p>
        </w:tc>
        <w:tc>
          <w:tcPr>
            <w:tcW w:w="52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701.83 </w:t>
            </w:r>
          </w:p>
        </w:tc>
        <w:tc>
          <w:tcPr>
            <w:tcW w:w="392"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47.32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集约化畜禽养殖场</w:t>
            </w:r>
          </w:p>
        </w:tc>
        <w:tc>
          <w:tcPr>
            <w:tcW w:w="528"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2727.82 </w:t>
            </w:r>
          </w:p>
        </w:tc>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36.45 </w:t>
            </w:r>
          </w:p>
        </w:tc>
        <w:tc>
          <w:tcPr>
            <w:tcW w:w="511"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2651.85 </w:t>
            </w:r>
          </w:p>
        </w:tc>
        <w:tc>
          <w:tcPr>
            <w:tcW w:w="410"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37.42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254.28 </w:t>
            </w:r>
          </w:p>
        </w:tc>
        <w:tc>
          <w:tcPr>
            <w:tcW w:w="39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37.90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222.28 </w:t>
            </w:r>
          </w:p>
        </w:tc>
        <w:tc>
          <w:tcPr>
            <w:tcW w:w="395"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42.51 </w:t>
            </w:r>
          </w:p>
        </w:tc>
        <w:tc>
          <w:tcPr>
            <w:tcW w:w="52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551.28 </w:t>
            </w:r>
          </w:p>
        </w:tc>
        <w:tc>
          <w:tcPr>
            <w:tcW w:w="392"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37.17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养殖</w:t>
            </w:r>
          </w:p>
          <w:p>
            <w:pPr>
              <w:widowControl/>
              <w:spacing w:line="300" w:lineRule="exact"/>
              <w:ind w:firstLine="0" w:firstLineChars="0"/>
              <w:jc w:val="center"/>
              <w:rPr>
                <w:rFonts w:cs="Arial"/>
                <w:kern w:val="0"/>
                <w:sz w:val="24"/>
                <w:szCs w:val="24"/>
              </w:rPr>
            </w:pPr>
            <w:r>
              <w:rPr>
                <w:rFonts w:hint="eastAsia" w:cs="Arial"/>
                <w:kern w:val="0"/>
                <w:sz w:val="24"/>
                <w:szCs w:val="24"/>
              </w:rPr>
              <w:t>专业户</w:t>
            </w:r>
          </w:p>
        </w:tc>
        <w:tc>
          <w:tcPr>
            <w:tcW w:w="528"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3.88 </w:t>
            </w:r>
          </w:p>
        </w:tc>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0.05 </w:t>
            </w:r>
          </w:p>
        </w:tc>
        <w:tc>
          <w:tcPr>
            <w:tcW w:w="511"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3.91 </w:t>
            </w:r>
          </w:p>
        </w:tc>
        <w:tc>
          <w:tcPr>
            <w:tcW w:w="410"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0.06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0.46 </w:t>
            </w:r>
          </w:p>
        </w:tc>
        <w:tc>
          <w:tcPr>
            <w:tcW w:w="39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0.07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0.83 </w:t>
            </w:r>
          </w:p>
        </w:tc>
        <w:tc>
          <w:tcPr>
            <w:tcW w:w="395"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0.16 </w:t>
            </w:r>
          </w:p>
        </w:tc>
        <w:tc>
          <w:tcPr>
            <w:tcW w:w="52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2.12 </w:t>
            </w:r>
          </w:p>
        </w:tc>
        <w:tc>
          <w:tcPr>
            <w:tcW w:w="392"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其他</w:t>
            </w:r>
          </w:p>
          <w:p>
            <w:pPr>
              <w:widowControl/>
              <w:spacing w:line="300" w:lineRule="exact"/>
              <w:ind w:firstLine="0" w:firstLineChars="0"/>
              <w:jc w:val="center"/>
              <w:rPr>
                <w:rFonts w:cs="Arial"/>
                <w:kern w:val="0"/>
                <w:sz w:val="24"/>
                <w:szCs w:val="24"/>
              </w:rPr>
            </w:pPr>
            <w:r>
              <w:rPr>
                <w:rFonts w:hint="eastAsia" w:cs="Arial"/>
                <w:kern w:val="0"/>
                <w:sz w:val="24"/>
                <w:szCs w:val="24"/>
              </w:rPr>
              <w:t>养殖户</w:t>
            </w:r>
          </w:p>
        </w:tc>
        <w:tc>
          <w:tcPr>
            <w:tcW w:w="528"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1058.93 </w:t>
            </w:r>
          </w:p>
        </w:tc>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14.15 </w:t>
            </w:r>
          </w:p>
        </w:tc>
        <w:tc>
          <w:tcPr>
            <w:tcW w:w="511"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999.54 </w:t>
            </w:r>
          </w:p>
        </w:tc>
        <w:tc>
          <w:tcPr>
            <w:tcW w:w="410"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14.10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95.71 </w:t>
            </w:r>
          </w:p>
        </w:tc>
        <w:tc>
          <w:tcPr>
            <w:tcW w:w="39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14.27 </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80.59 </w:t>
            </w:r>
          </w:p>
        </w:tc>
        <w:tc>
          <w:tcPr>
            <w:tcW w:w="395"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15.41 </w:t>
            </w:r>
          </w:p>
        </w:tc>
        <w:tc>
          <w:tcPr>
            <w:tcW w:w="52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227.81 </w:t>
            </w:r>
          </w:p>
        </w:tc>
        <w:tc>
          <w:tcPr>
            <w:tcW w:w="392"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总计</w:t>
            </w:r>
          </w:p>
        </w:tc>
        <w:tc>
          <w:tcPr>
            <w:tcW w:w="528"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7484.53 </w:t>
            </w:r>
          </w:p>
        </w:tc>
        <w:tc>
          <w:tcPr>
            <w:tcW w:w="394"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100.00</w:t>
            </w:r>
          </w:p>
        </w:tc>
        <w:tc>
          <w:tcPr>
            <w:tcW w:w="511"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7087.48</w:t>
            </w:r>
          </w:p>
        </w:tc>
        <w:tc>
          <w:tcPr>
            <w:tcW w:w="410"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100.00</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670.84 </w:t>
            </w:r>
          </w:p>
        </w:tc>
        <w:tc>
          <w:tcPr>
            <w:tcW w:w="39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100.00</w:t>
            </w:r>
          </w:p>
        </w:tc>
        <w:tc>
          <w:tcPr>
            <w:tcW w:w="527"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522.89 </w:t>
            </w:r>
          </w:p>
        </w:tc>
        <w:tc>
          <w:tcPr>
            <w:tcW w:w="395"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100.00</w:t>
            </w:r>
          </w:p>
        </w:tc>
        <w:tc>
          <w:tcPr>
            <w:tcW w:w="526"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1483.04 </w:t>
            </w:r>
          </w:p>
        </w:tc>
        <w:tc>
          <w:tcPr>
            <w:tcW w:w="392" w:type="pct"/>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100.00</w:t>
            </w:r>
          </w:p>
        </w:tc>
      </w:tr>
    </w:tbl>
    <w:p>
      <w:pPr>
        <w:ind w:firstLine="0" w:firstLineChars="0"/>
        <w:rPr>
          <w:rFonts w:eastAsia="方正黑体_GBK"/>
          <w:sz w:val="28"/>
          <w:szCs w:val="28"/>
        </w:rPr>
      </w:pPr>
    </w:p>
    <w:p>
      <w:pPr>
        <w:ind w:firstLine="0" w:firstLineChars="0"/>
        <w:jc w:val="center"/>
        <w:rPr>
          <w:rFonts w:eastAsia="方正黑体_GBK"/>
          <w:sz w:val="28"/>
          <w:szCs w:val="28"/>
        </w:rPr>
      </w:pPr>
      <w:r>
        <w:t xml:space="preserve"> </w:t>
      </w:r>
      <w:r>
        <w:drawing>
          <wp:inline distT="0" distB="0" distL="0" distR="0">
            <wp:extent cx="5038725" cy="3019425"/>
            <wp:effectExtent l="0" t="0" r="9525" b="952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ind w:firstLine="0" w:firstLineChars="0"/>
        <w:jc w:val="center"/>
        <w:rPr>
          <w:rFonts w:eastAsia="方正黑体_GBK"/>
          <w:sz w:val="28"/>
          <w:szCs w:val="28"/>
        </w:rPr>
      </w:pPr>
      <w:r>
        <w:rPr>
          <w:rFonts w:hint="eastAsia" w:eastAsia="方正黑体_GBK"/>
          <w:sz w:val="28"/>
          <w:szCs w:val="28"/>
        </w:rPr>
        <w:t>图</w:t>
      </w:r>
      <w:r>
        <w:rPr>
          <w:rFonts w:eastAsia="方正黑体_GBK"/>
          <w:sz w:val="28"/>
          <w:szCs w:val="28"/>
        </w:rPr>
        <w:t>2</w:t>
      </w:r>
      <w:r>
        <w:rPr>
          <w:rFonts w:hint="eastAsia" w:eastAsia="方正黑体_GBK"/>
          <w:sz w:val="28"/>
          <w:szCs w:val="28"/>
        </w:rPr>
        <w:t>-</w:t>
      </w:r>
      <w:r>
        <w:rPr>
          <w:rFonts w:eastAsia="方正黑体_GBK"/>
          <w:sz w:val="28"/>
          <w:szCs w:val="28"/>
        </w:rPr>
        <w:t xml:space="preserve">9  </w:t>
      </w:r>
      <w:r>
        <w:rPr>
          <w:rFonts w:hint="eastAsia" w:eastAsia="方正黑体_GBK"/>
          <w:sz w:val="28"/>
          <w:szCs w:val="28"/>
        </w:rPr>
        <w:t>江津区不同规模畜禽养殖场粪便污染物产生情况图</w:t>
      </w:r>
    </w:p>
    <w:p>
      <w:pPr>
        <w:ind w:firstLine="0" w:firstLineChars="0"/>
        <w:jc w:val="center"/>
        <w:rPr>
          <w:rFonts w:eastAsia="方正黑体_GBK"/>
          <w:sz w:val="28"/>
          <w:szCs w:val="28"/>
        </w:rPr>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2-13  </w:t>
      </w:r>
      <w:r>
        <w:rPr>
          <w:rFonts w:hint="eastAsia" w:eastAsia="方正黑体_GBK"/>
          <w:sz w:val="28"/>
          <w:szCs w:val="28"/>
        </w:rPr>
        <w:t>江津区各类畜禽粪便污染物产生情况</w:t>
      </w:r>
    </w:p>
    <w:tbl>
      <w:tblPr>
        <w:tblStyle w:val="10"/>
        <w:tblW w:w="127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462"/>
        <w:gridCol w:w="951"/>
        <w:gridCol w:w="1450"/>
        <w:gridCol w:w="1033"/>
        <w:gridCol w:w="1358"/>
        <w:gridCol w:w="915"/>
        <w:gridCol w:w="1385"/>
        <w:gridCol w:w="991"/>
        <w:gridCol w:w="1385"/>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00" w:type="dxa"/>
            <w:vMerge w:val="restart"/>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类别</w:t>
            </w:r>
          </w:p>
        </w:tc>
        <w:tc>
          <w:tcPr>
            <w:tcW w:w="2413" w:type="dxa"/>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COD</w:t>
            </w:r>
          </w:p>
        </w:tc>
        <w:tc>
          <w:tcPr>
            <w:tcW w:w="2483" w:type="dxa"/>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BOD</w:t>
            </w:r>
          </w:p>
        </w:tc>
        <w:tc>
          <w:tcPr>
            <w:tcW w:w="2273" w:type="dxa"/>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NH</w:t>
            </w:r>
            <w:r>
              <w:rPr>
                <w:rFonts w:eastAsia="方正黑体_GBK" w:cs="Arial"/>
                <w:kern w:val="0"/>
                <w:sz w:val="24"/>
                <w:szCs w:val="24"/>
                <w:vertAlign w:val="subscript"/>
              </w:rPr>
              <w:t>3</w:t>
            </w:r>
            <w:r>
              <w:rPr>
                <w:rFonts w:eastAsia="方正黑体_GBK" w:cs="Arial"/>
                <w:kern w:val="0"/>
                <w:sz w:val="24"/>
                <w:szCs w:val="24"/>
              </w:rPr>
              <w:t>-N</w:t>
            </w:r>
          </w:p>
        </w:tc>
        <w:tc>
          <w:tcPr>
            <w:tcW w:w="2376" w:type="dxa"/>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TP</w:t>
            </w:r>
          </w:p>
        </w:tc>
        <w:tc>
          <w:tcPr>
            <w:tcW w:w="2300" w:type="dxa"/>
            <w:gridSpan w:val="2"/>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eastAsia="方正黑体_GBK" w:cs="Arial"/>
                <w:kern w:val="0"/>
                <w:sz w:val="24"/>
                <w:szCs w:val="24"/>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00" w:type="dxa"/>
            <w:vMerge w:val="continue"/>
            <w:shd w:val="clear" w:color="auto" w:fill="auto"/>
            <w:noWrap/>
            <w:vAlign w:val="center"/>
          </w:tcPr>
          <w:p>
            <w:pPr>
              <w:widowControl/>
              <w:spacing w:line="300" w:lineRule="exact"/>
              <w:ind w:firstLine="0" w:firstLineChars="0"/>
              <w:jc w:val="center"/>
              <w:rPr>
                <w:rFonts w:eastAsia="方正黑体_GBK" w:cs="Arial"/>
                <w:kern w:val="0"/>
                <w:sz w:val="24"/>
                <w:szCs w:val="24"/>
              </w:rPr>
            </w:pPr>
          </w:p>
        </w:tc>
        <w:tc>
          <w:tcPr>
            <w:tcW w:w="1462"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951"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r>
              <w:rPr>
                <w:rFonts w:eastAsia="方正黑体_GBK" w:cs="Arial"/>
                <w:kern w:val="0"/>
                <w:sz w:val="24"/>
                <w:szCs w:val="24"/>
              </w:rPr>
              <w:t>(%)</w:t>
            </w:r>
          </w:p>
        </w:tc>
        <w:tc>
          <w:tcPr>
            <w:tcW w:w="1450"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w:t>
            </w:r>
          </w:p>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（吨</w:t>
            </w:r>
            <w:r>
              <w:rPr>
                <w:rFonts w:eastAsia="方正黑体_GBK" w:cs="Arial"/>
                <w:kern w:val="0"/>
                <w:sz w:val="24"/>
                <w:szCs w:val="24"/>
              </w:rPr>
              <w:t>/</w:t>
            </w:r>
            <w:r>
              <w:rPr>
                <w:rFonts w:hint="eastAsia" w:eastAsia="方正黑体_GBK" w:cs="Arial"/>
                <w:kern w:val="0"/>
                <w:sz w:val="24"/>
                <w:szCs w:val="24"/>
              </w:rPr>
              <w:t>年）</w:t>
            </w:r>
          </w:p>
        </w:tc>
        <w:tc>
          <w:tcPr>
            <w:tcW w:w="1033"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r>
              <w:rPr>
                <w:rFonts w:eastAsia="方正黑体_GBK" w:cs="Arial"/>
                <w:kern w:val="0"/>
                <w:sz w:val="24"/>
                <w:szCs w:val="24"/>
              </w:rPr>
              <w:t>(%)</w:t>
            </w:r>
          </w:p>
        </w:tc>
        <w:tc>
          <w:tcPr>
            <w:tcW w:w="1358"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产生量（吨</w:t>
            </w:r>
            <w:r>
              <w:rPr>
                <w:rFonts w:eastAsia="方正黑体_GBK" w:cs="Arial"/>
                <w:kern w:val="0"/>
                <w:sz w:val="24"/>
                <w:szCs w:val="24"/>
              </w:rPr>
              <w:t>/</w:t>
            </w:r>
            <w:r>
              <w:rPr>
                <w:rFonts w:hint="eastAsia" w:eastAsia="方正黑体_GBK" w:cs="Arial"/>
                <w:kern w:val="0"/>
                <w:sz w:val="24"/>
                <w:szCs w:val="24"/>
              </w:rPr>
              <w:t>年）</w:t>
            </w:r>
          </w:p>
        </w:tc>
        <w:tc>
          <w:tcPr>
            <w:tcW w:w="915"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r>
              <w:rPr>
                <w:rFonts w:eastAsia="方正黑体_GBK" w:cs="Arial"/>
                <w:kern w:val="0"/>
                <w:sz w:val="24"/>
                <w:szCs w:val="24"/>
              </w:rPr>
              <w:t>(%)</w:t>
            </w:r>
          </w:p>
        </w:tc>
        <w:tc>
          <w:tcPr>
            <w:tcW w:w="1385"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产生量（吨</w:t>
            </w:r>
            <w:r>
              <w:rPr>
                <w:rFonts w:eastAsia="方正黑体_GBK" w:cs="Arial"/>
                <w:kern w:val="0"/>
                <w:sz w:val="24"/>
                <w:szCs w:val="24"/>
              </w:rPr>
              <w:t>/</w:t>
            </w:r>
            <w:r>
              <w:rPr>
                <w:rFonts w:hint="eastAsia" w:eastAsia="方正黑体_GBK" w:cs="Arial"/>
                <w:kern w:val="0"/>
                <w:sz w:val="24"/>
                <w:szCs w:val="24"/>
              </w:rPr>
              <w:t>年）</w:t>
            </w:r>
          </w:p>
        </w:tc>
        <w:tc>
          <w:tcPr>
            <w:tcW w:w="991"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r>
              <w:rPr>
                <w:rFonts w:eastAsia="方正黑体_GBK" w:cs="Arial"/>
                <w:kern w:val="0"/>
                <w:sz w:val="24"/>
                <w:szCs w:val="24"/>
              </w:rPr>
              <w:t>(%)</w:t>
            </w:r>
          </w:p>
        </w:tc>
        <w:tc>
          <w:tcPr>
            <w:tcW w:w="1385"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产生量（吨</w:t>
            </w:r>
            <w:r>
              <w:rPr>
                <w:rFonts w:eastAsia="方正黑体_GBK" w:cs="Arial"/>
                <w:kern w:val="0"/>
                <w:sz w:val="24"/>
                <w:szCs w:val="24"/>
              </w:rPr>
              <w:t>/</w:t>
            </w:r>
            <w:r>
              <w:rPr>
                <w:rFonts w:hint="eastAsia" w:eastAsia="方正黑体_GBK" w:cs="Arial"/>
                <w:kern w:val="0"/>
                <w:sz w:val="24"/>
                <w:szCs w:val="24"/>
              </w:rPr>
              <w:t>年）</w:t>
            </w:r>
          </w:p>
        </w:tc>
        <w:tc>
          <w:tcPr>
            <w:tcW w:w="915" w:type="dxa"/>
            <w:shd w:val="clear" w:color="auto" w:fill="auto"/>
            <w:noWrap/>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r>
              <w:rPr>
                <w:rFonts w:eastAsia="方正黑体_GBK" w:cs="Arial"/>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鹌鹑</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3.55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0.05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3.46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0.05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0.29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0.04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0.23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0.04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0.60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鹅</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1.34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0.87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0.01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0.00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0.18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0.03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0.32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鸽</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1.92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0.03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1.88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0.03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0.16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0.12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0.33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鸡</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1309.78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17.50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1394.19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19.67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139.13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20.74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156.30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29.89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286.41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19.31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牛</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1631.17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21.79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1272.79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17.96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165.52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24.67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66.21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12.66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401.56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27.08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兔</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2.27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0.03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2.01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0.03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0.39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0.06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1.17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0.22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4.75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鸭</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43.86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0.59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28.42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0.40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0.76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0.11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5.87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1.12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10.42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羊</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12.29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0.16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10.88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0.15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2.12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0.32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6.90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1.32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19.90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猪</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4478.35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59.83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4372.98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61.70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362.45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54.03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285.91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54.68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758.76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51.16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00" w:type="dxa"/>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总计</w:t>
            </w:r>
          </w:p>
        </w:tc>
        <w:tc>
          <w:tcPr>
            <w:tcW w:w="1462"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7484.53 </w:t>
            </w:r>
          </w:p>
        </w:tc>
        <w:tc>
          <w:tcPr>
            <w:tcW w:w="95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100 </w:t>
            </w:r>
          </w:p>
        </w:tc>
        <w:tc>
          <w:tcPr>
            <w:tcW w:w="1450"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7087.48 </w:t>
            </w:r>
          </w:p>
        </w:tc>
        <w:tc>
          <w:tcPr>
            <w:tcW w:w="1033"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100 </w:t>
            </w:r>
          </w:p>
        </w:tc>
        <w:tc>
          <w:tcPr>
            <w:tcW w:w="1358"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670.84 </w:t>
            </w:r>
          </w:p>
        </w:tc>
        <w:tc>
          <w:tcPr>
            <w:tcW w:w="915" w:type="dxa"/>
            <w:shd w:val="clear" w:color="auto" w:fill="auto"/>
            <w:noWrap/>
            <w:vAlign w:val="center"/>
          </w:tcPr>
          <w:p>
            <w:pPr>
              <w:widowControl/>
              <w:spacing w:line="300" w:lineRule="exact"/>
              <w:ind w:firstLine="0" w:firstLineChars="0"/>
              <w:rPr>
                <w:rFonts w:cs="Arial"/>
                <w:kern w:val="0"/>
                <w:sz w:val="24"/>
                <w:szCs w:val="24"/>
              </w:rPr>
            </w:pPr>
            <w:r>
              <w:rPr>
                <w:sz w:val="24"/>
                <w:szCs w:val="24"/>
              </w:rPr>
              <w:t xml:space="preserve">100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522.89 </w:t>
            </w:r>
          </w:p>
        </w:tc>
        <w:tc>
          <w:tcPr>
            <w:tcW w:w="991"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100 </w:t>
            </w:r>
          </w:p>
        </w:tc>
        <w:tc>
          <w:tcPr>
            <w:tcW w:w="138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1483.04 </w:t>
            </w:r>
          </w:p>
        </w:tc>
        <w:tc>
          <w:tcPr>
            <w:tcW w:w="915" w:type="dxa"/>
            <w:shd w:val="clear" w:color="auto" w:fill="auto"/>
            <w:noWrap/>
            <w:vAlign w:val="center"/>
          </w:tcPr>
          <w:p>
            <w:pPr>
              <w:widowControl/>
              <w:spacing w:line="300" w:lineRule="exact"/>
              <w:ind w:firstLine="0" w:firstLineChars="0"/>
              <w:jc w:val="center"/>
              <w:rPr>
                <w:rFonts w:cs="Arial"/>
                <w:kern w:val="0"/>
                <w:sz w:val="24"/>
                <w:szCs w:val="24"/>
              </w:rPr>
            </w:pPr>
            <w:r>
              <w:rPr>
                <w:sz w:val="24"/>
                <w:szCs w:val="24"/>
              </w:rPr>
              <w:t xml:space="preserve">100 </w:t>
            </w:r>
          </w:p>
        </w:tc>
      </w:tr>
    </w:tbl>
    <w:p>
      <w:pPr>
        <w:spacing w:line="240" w:lineRule="atLeast"/>
        <w:ind w:firstLine="632"/>
        <w:jc w:val="center"/>
      </w:pPr>
    </w:p>
    <w:p>
      <w:pPr>
        <w:ind w:firstLine="0" w:firstLineChars="0"/>
        <w:jc w:val="center"/>
      </w:pPr>
      <w:r>
        <w:drawing>
          <wp:inline distT="0" distB="0" distL="0" distR="0">
            <wp:extent cx="4378325" cy="240284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4407367" cy="2418684"/>
                    </a:xfrm>
                    <a:prstGeom prst="rect">
                      <a:avLst/>
                    </a:prstGeom>
                  </pic:spPr>
                </pic:pic>
              </a:graphicData>
            </a:graphic>
          </wp:inline>
        </w:drawing>
      </w:r>
      <w:r>
        <w:rPr>
          <w:rFonts w:hint="eastAsia"/>
        </w:rPr>
        <w:t xml:space="preserve"> </w:t>
      </w:r>
      <w:r>
        <w:t xml:space="preserve">  </w:t>
      </w:r>
    </w:p>
    <w:p>
      <w:pPr>
        <w:ind w:firstLine="552"/>
        <w:jc w:val="center"/>
      </w:pPr>
      <w:r>
        <w:rPr>
          <w:rFonts w:hint="eastAsia" w:eastAsia="方正黑体_GBK"/>
          <w:sz w:val="28"/>
          <w:szCs w:val="28"/>
        </w:rPr>
        <w:t>图</w:t>
      </w:r>
      <w:r>
        <w:rPr>
          <w:rFonts w:eastAsia="方正黑体_GBK"/>
          <w:sz w:val="28"/>
          <w:szCs w:val="28"/>
        </w:rPr>
        <w:t>2</w:t>
      </w:r>
      <w:r>
        <w:rPr>
          <w:rFonts w:hint="eastAsia" w:eastAsia="方正黑体_GBK"/>
          <w:sz w:val="28"/>
          <w:szCs w:val="28"/>
        </w:rPr>
        <w:t>-</w:t>
      </w:r>
      <w:r>
        <w:rPr>
          <w:rFonts w:eastAsia="方正黑体_GBK"/>
          <w:sz w:val="28"/>
          <w:szCs w:val="28"/>
        </w:rPr>
        <w:t xml:space="preserve">10  </w:t>
      </w:r>
      <w:r>
        <w:rPr>
          <w:rFonts w:hint="eastAsia" w:eastAsia="方正黑体_GBK"/>
          <w:sz w:val="28"/>
          <w:szCs w:val="28"/>
        </w:rPr>
        <w:t>江津区各类畜禽粪便污染物产生情况图</w:t>
      </w:r>
    </w:p>
    <w:p>
      <w:pPr>
        <w:ind w:firstLine="632"/>
        <w:jc w:val="center"/>
        <w:sectPr>
          <w:pgSz w:w="16838" w:h="11906" w:orient="landscape"/>
          <w:pgMar w:top="1588" w:right="2098" w:bottom="1474" w:left="1985" w:header="851" w:footer="992" w:gutter="0"/>
          <w:cols w:space="425" w:num="1"/>
          <w:docGrid w:type="linesAndChars" w:linePitch="579" w:charSpace="-849"/>
        </w:sectPr>
      </w:pPr>
    </w:p>
    <w:p>
      <w:pPr>
        <w:spacing w:line="560" w:lineRule="exact"/>
        <w:ind w:firstLine="632"/>
        <w:outlineLvl w:val="1"/>
        <w:rPr>
          <w:rFonts w:eastAsia="方正楷体_GBK"/>
          <w:szCs w:val="32"/>
        </w:rPr>
      </w:pPr>
      <w:bookmarkStart w:id="18" w:name="_Toc79166985"/>
      <w:r>
        <w:rPr>
          <w:rFonts w:hint="eastAsia" w:eastAsia="方正楷体_GBK"/>
          <w:szCs w:val="32"/>
        </w:rPr>
        <w:t>（四）</w:t>
      </w:r>
      <w:bookmarkStart w:id="19" w:name="_Hlk78905221"/>
      <w:r>
        <w:rPr>
          <w:rFonts w:hint="eastAsia" w:eastAsia="方正楷体_GBK"/>
          <w:szCs w:val="32"/>
        </w:rPr>
        <w:t>畜禽粪污土地承载力</w:t>
      </w:r>
      <w:bookmarkEnd w:id="19"/>
      <w:r>
        <w:rPr>
          <w:rFonts w:hint="eastAsia" w:eastAsia="方正楷体_GBK"/>
          <w:szCs w:val="32"/>
        </w:rPr>
        <w:t>及养殖环境容量分析</w:t>
      </w:r>
      <w:bookmarkEnd w:id="18"/>
    </w:p>
    <w:p>
      <w:pPr>
        <w:ind w:firstLine="632"/>
      </w:pPr>
      <w:r>
        <w:rPr>
          <w:rFonts w:hint="eastAsia"/>
        </w:rPr>
        <w:t>通过计算可知，江津区畜禽粪污土地承载力（按氮计）为</w:t>
      </w:r>
      <w:r>
        <w:t>202.39</w:t>
      </w:r>
      <w:r>
        <w:rPr>
          <w:rFonts w:hint="eastAsia"/>
        </w:rPr>
        <w:t>万头，畜禽粪污土地承载力（按磷计）为</w:t>
      </w:r>
      <w:r>
        <w:t>254.46</w:t>
      </w:r>
      <w:r>
        <w:rPr>
          <w:rFonts w:hint="eastAsia"/>
        </w:rPr>
        <w:t>万头。</w:t>
      </w:r>
    </w:p>
    <w:p>
      <w:pPr>
        <w:ind w:firstLine="632"/>
      </w:pPr>
      <w:r>
        <w:rPr>
          <w:rFonts w:hint="eastAsia"/>
        </w:rPr>
        <w:t>根据表</w:t>
      </w:r>
      <w:r>
        <w:t>2-14</w:t>
      </w:r>
      <w:r>
        <w:rPr>
          <w:rFonts w:hint="eastAsia"/>
        </w:rPr>
        <w:t>、表2-</w:t>
      </w:r>
      <w:r>
        <w:t>15</w:t>
      </w:r>
      <w:r>
        <w:rPr>
          <w:rFonts w:hint="eastAsia"/>
        </w:rPr>
        <w:t>和图</w:t>
      </w:r>
      <w:r>
        <w:t>2-11</w:t>
      </w:r>
      <w:r>
        <w:rPr>
          <w:rFonts w:hint="eastAsia"/>
        </w:rPr>
        <w:t>可以看出，江津区畜禽粪污土地承载力负荷率（按氮计）为</w:t>
      </w:r>
      <w:r>
        <w:t>12.43</w:t>
      </w:r>
      <w:r>
        <w:rPr>
          <w:rFonts w:hint="eastAsia"/>
        </w:rPr>
        <w:t>%，畜禽粪污土地承载力负荷率（按磷记）为</w:t>
      </w:r>
      <w:r>
        <w:t>9.89</w:t>
      </w:r>
      <w:r>
        <w:rPr>
          <w:rFonts w:hint="eastAsia"/>
        </w:rPr>
        <w:t>%，总体未超出畜禽粪污土地承载力容量。但少部分街道出现超出畜禽粪污土地承载力容量以及畜禽粪污土地承载力接近满负荷现象，其中德感街道畜禽粪污土地承载力负荷率（按氮计）超出</w:t>
      </w:r>
      <w:r>
        <w:t>17.93</w:t>
      </w:r>
      <w:r>
        <w:rPr>
          <w:rFonts w:hint="eastAsia"/>
        </w:rPr>
        <w:t>%，畜禽粪污土地承载力负荷率（按磷计）超出</w:t>
      </w:r>
      <w:r>
        <w:t>12.21</w:t>
      </w:r>
      <w:r>
        <w:rPr>
          <w:rFonts w:hint="eastAsia"/>
        </w:rPr>
        <w:t>%；几江街道畜禽粪污土地承载力负荷率（按氮计）达到</w:t>
      </w:r>
      <w:r>
        <w:t>80.82</w:t>
      </w:r>
      <w:r>
        <w:rPr>
          <w:rFonts w:hint="eastAsia"/>
        </w:rPr>
        <w:t>%，畜禽粪污土地承载力负荷率（按磷计）达到6</w:t>
      </w:r>
      <w:r>
        <w:t>7.94</w:t>
      </w:r>
      <w:r>
        <w:rPr>
          <w:rFonts w:hint="eastAsia"/>
        </w:rPr>
        <w:t>%。</w:t>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2-14  </w:t>
      </w:r>
      <w:r>
        <w:rPr>
          <w:rFonts w:hint="eastAsia" w:eastAsia="方正黑体_GBK"/>
          <w:sz w:val="28"/>
          <w:szCs w:val="28"/>
        </w:rPr>
        <w:t>各镇街畜禽粪污土地承载力（按氮计）测算表</w:t>
      </w:r>
    </w:p>
    <w:tbl>
      <w:tblPr>
        <w:tblStyle w:val="1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240"/>
        <w:gridCol w:w="1431"/>
        <w:gridCol w:w="1431"/>
        <w:gridCol w:w="1761"/>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blHeader/>
          <w:jc w:val="center"/>
        </w:trPr>
        <w:tc>
          <w:tcPr>
            <w:tcW w:w="1307"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w:t>
            </w:r>
          </w:p>
        </w:tc>
        <w:tc>
          <w:tcPr>
            <w:tcW w:w="1240"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常年存栏猪当量（万头）</w:t>
            </w:r>
          </w:p>
        </w:tc>
        <w:tc>
          <w:tcPr>
            <w:tcW w:w="1431"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植物养分</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需氮量</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（千克</w:t>
            </w:r>
            <w:r>
              <w:rPr>
                <w:rFonts w:eastAsia="方正黑体_GBK" w:cs="Arial"/>
                <w:kern w:val="0"/>
                <w:sz w:val="24"/>
                <w:szCs w:val="24"/>
              </w:rPr>
              <w:t>/</w:t>
            </w:r>
            <w:r>
              <w:rPr>
                <w:rFonts w:hint="eastAsia" w:eastAsia="方正黑体_GBK" w:cs="Arial"/>
                <w:kern w:val="0"/>
                <w:sz w:val="24"/>
                <w:szCs w:val="24"/>
              </w:rPr>
              <w:t>年</w:t>
            </w:r>
            <w:r>
              <w:rPr>
                <w:rFonts w:eastAsia="方正黑体_GBK" w:cs="Arial"/>
                <w:kern w:val="0"/>
                <w:sz w:val="24"/>
                <w:szCs w:val="24"/>
              </w:rPr>
              <w:t>)</w:t>
            </w:r>
          </w:p>
        </w:tc>
        <w:tc>
          <w:tcPr>
            <w:tcW w:w="1404"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植物粪肥养分需氮量</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（千克</w:t>
            </w:r>
            <w:r>
              <w:rPr>
                <w:rFonts w:eastAsia="方正黑体_GBK" w:cs="Arial"/>
                <w:kern w:val="0"/>
                <w:sz w:val="24"/>
                <w:szCs w:val="24"/>
              </w:rPr>
              <w:t>/</w:t>
            </w:r>
            <w:r>
              <w:rPr>
                <w:rFonts w:hint="eastAsia" w:eastAsia="方正黑体_GBK" w:cs="Arial"/>
                <w:kern w:val="0"/>
                <w:sz w:val="24"/>
                <w:szCs w:val="24"/>
              </w:rPr>
              <w:t>年</w:t>
            </w:r>
            <w:r>
              <w:rPr>
                <w:rFonts w:eastAsia="方正黑体_GBK" w:cs="Arial"/>
                <w:kern w:val="0"/>
                <w:sz w:val="24"/>
                <w:szCs w:val="24"/>
              </w:rPr>
              <w:t>)</w:t>
            </w:r>
          </w:p>
        </w:tc>
        <w:tc>
          <w:tcPr>
            <w:tcW w:w="1761"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区域畜禽粪污土地承载力</w:t>
            </w:r>
            <w:r>
              <w:rPr>
                <w:rFonts w:eastAsia="方正黑体_GBK" w:cs="Arial"/>
                <w:kern w:val="0"/>
                <w:sz w:val="24"/>
                <w:szCs w:val="24"/>
              </w:rPr>
              <w:t>/</w:t>
            </w:r>
            <w:r>
              <w:rPr>
                <w:rFonts w:hint="eastAsia" w:eastAsia="方正黑体_GBK" w:cs="Arial"/>
                <w:kern w:val="0"/>
                <w:sz w:val="24"/>
                <w:szCs w:val="24"/>
              </w:rPr>
              <w:t>猪当量</w:t>
            </w:r>
            <w:r>
              <w:rPr>
                <w:rFonts w:eastAsia="方正黑体_GBK" w:cs="Arial"/>
                <w:kern w:val="0"/>
                <w:sz w:val="24"/>
                <w:szCs w:val="24"/>
              </w:rPr>
              <w:t>/</w:t>
            </w:r>
            <w:r>
              <w:rPr>
                <w:rFonts w:hint="eastAsia" w:eastAsia="方正黑体_GBK" w:cs="Arial"/>
                <w:kern w:val="0"/>
                <w:sz w:val="24"/>
                <w:szCs w:val="24"/>
              </w:rPr>
              <w:t>万头</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（按氮计）</w:t>
            </w:r>
          </w:p>
        </w:tc>
        <w:tc>
          <w:tcPr>
            <w:tcW w:w="1924"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区域畜禽粪污土地承载力负荷率（按氮计）</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德感街道</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1.74</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114784.00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103305.60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1.48</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几江街道</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28870.00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25983.00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0.37</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李市镇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5.59</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998078.00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898270.20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12.83</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吴滩镇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2.63</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596070.00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536463.00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7.66</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圣泉街道</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0.45</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138930.00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125037.00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塘河镇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0.75</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279522.00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251569.80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3.59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慈云镇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261208.00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235087.20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3.36</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先锋镇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2.04</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799468.00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719521.20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10.28</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夏坝镇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0.45</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185656.00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167090.40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2.39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双福街道</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47106.00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42395.40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0.61</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油溪镇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1.47</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908336.00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817502.40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11.68</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白沙镇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2.66</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1663876.00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1497488.40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21.39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龙华镇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0.86</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588474.00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529626.60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7.57</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柏林镇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0.71</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566690.00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510021.00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7.29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支坪镇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0.50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413284.00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371955.60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5.31</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贾嗣镇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0.67</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633590.00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570231.00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8.15</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西湖镇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0.80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837634.00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753870.60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10.77</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蔡家镇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0.44</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679670.00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611703.00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8.74</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杜市镇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0.35</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553530.00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498177.00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7.12</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嘉平镇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0.29</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469542.00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422587.80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6.04</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广兴镇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0.11</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213432.00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192088.80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2.74</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朱杨镇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0.21</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498236.00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448412.40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6.41</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石蟆镇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0.60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1524020.00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1371618.00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19.59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珞璜镇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0.21</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556410.00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500769.00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7.15</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永兴镇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0.32</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882180.00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793962.00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11.34</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四面山镇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0.03</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113694.00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102324.60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1.46</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石门镇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0.14</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644446.00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580001.40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8.29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四屏镇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0.01</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87486.00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78737.40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1.12</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中山镇</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0.02</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395814.00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356232.60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5.09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鼎山街道</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0.00</w:t>
            </w:r>
          </w:p>
        </w:tc>
        <w:tc>
          <w:tcPr>
            <w:tcW w:w="1431" w:type="dxa"/>
            <w:shd w:val="clear" w:color="auto" w:fill="auto"/>
            <w:noWrap/>
          </w:tcPr>
          <w:p>
            <w:pPr>
              <w:spacing w:line="300" w:lineRule="exact"/>
              <w:ind w:firstLine="0" w:firstLineChars="0"/>
              <w:jc w:val="center"/>
              <w:rPr>
                <w:rFonts w:cs="Times New Roman"/>
                <w:kern w:val="0"/>
                <w:sz w:val="24"/>
                <w:szCs w:val="24"/>
              </w:rPr>
            </w:pPr>
            <w:r>
              <w:rPr>
                <w:sz w:val="24"/>
                <w:szCs w:val="24"/>
              </w:rPr>
              <w:t xml:space="preserve">61650.00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55485.00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307" w:type="dxa"/>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总计</w:t>
            </w:r>
          </w:p>
        </w:tc>
        <w:tc>
          <w:tcPr>
            <w:tcW w:w="1240"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25.16</w:t>
            </w:r>
          </w:p>
        </w:tc>
        <w:tc>
          <w:tcPr>
            <w:tcW w:w="1431" w:type="dxa"/>
            <w:shd w:val="clear" w:color="auto" w:fill="auto"/>
            <w:noWrap/>
          </w:tcPr>
          <w:p>
            <w:pPr>
              <w:spacing w:line="300" w:lineRule="exact"/>
              <w:ind w:firstLine="0" w:firstLineChars="0"/>
              <w:jc w:val="center"/>
              <w:rPr>
                <w:rFonts w:cs="Arial"/>
                <w:kern w:val="0"/>
                <w:sz w:val="24"/>
                <w:szCs w:val="24"/>
              </w:rPr>
            </w:pPr>
            <w:r>
              <w:rPr>
                <w:sz w:val="24"/>
                <w:szCs w:val="24"/>
              </w:rPr>
              <w:t xml:space="preserve">15741686.00 </w:t>
            </w:r>
          </w:p>
        </w:tc>
        <w:tc>
          <w:tcPr>
            <w:tcW w:w="1404" w:type="dxa"/>
            <w:shd w:val="clear" w:color="auto" w:fill="auto"/>
            <w:noWrap/>
          </w:tcPr>
          <w:p>
            <w:pPr>
              <w:spacing w:line="300" w:lineRule="exact"/>
              <w:ind w:firstLine="0" w:firstLineChars="0"/>
              <w:jc w:val="center"/>
              <w:rPr>
                <w:rFonts w:cs="Arial"/>
                <w:kern w:val="0"/>
                <w:sz w:val="24"/>
                <w:szCs w:val="24"/>
              </w:rPr>
            </w:pPr>
            <w:r>
              <w:rPr>
                <w:sz w:val="24"/>
                <w:szCs w:val="24"/>
              </w:rPr>
              <w:t xml:space="preserve">14167517.40 </w:t>
            </w:r>
          </w:p>
        </w:tc>
        <w:tc>
          <w:tcPr>
            <w:tcW w:w="1761"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202.39</w:t>
            </w:r>
          </w:p>
        </w:tc>
        <w:tc>
          <w:tcPr>
            <w:tcW w:w="192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12.43</w:t>
            </w:r>
          </w:p>
        </w:tc>
      </w:tr>
    </w:tbl>
    <w:p>
      <w:pPr>
        <w:ind w:firstLine="632"/>
      </w:pP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2-15  </w:t>
      </w:r>
      <w:r>
        <w:rPr>
          <w:rFonts w:hint="eastAsia" w:eastAsia="方正黑体_GBK"/>
          <w:sz w:val="28"/>
          <w:szCs w:val="28"/>
        </w:rPr>
        <w:t>各镇街畜禽粪污土地承载力（按磷计）测算表</w:t>
      </w:r>
    </w:p>
    <w:tbl>
      <w:tblPr>
        <w:tblStyle w:val="1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245"/>
        <w:gridCol w:w="1353"/>
        <w:gridCol w:w="1551"/>
        <w:gridCol w:w="177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blHeader/>
          <w:jc w:val="center"/>
        </w:trPr>
        <w:tc>
          <w:tcPr>
            <w:tcW w:w="0" w:type="auto"/>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镇街</w:t>
            </w:r>
          </w:p>
        </w:tc>
        <w:tc>
          <w:tcPr>
            <w:tcW w:w="1245"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常年存栏猪当量</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（万头）</w:t>
            </w:r>
          </w:p>
        </w:tc>
        <w:tc>
          <w:tcPr>
            <w:tcW w:w="1353"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植物养分需磷量（千克</w:t>
            </w:r>
            <w:r>
              <w:rPr>
                <w:rFonts w:eastAsia="方正黑体_GBK" w:cs="Arial"/>
                <w:kern w:val="0"/>
                <w:sz w:val="24"/>
                <w:szCs w:val="24"/>
              </w:rPr>
              <w:t>/</w:t>
            </w:r>
            <w:r>
              <w:rPr>
                <w:rFonts w:hint="eastAsia" w:eastAsia="方正黑体_GBK" w:cs="Arial"/>
                <w:kern w:val="0"/>
                <w:sz w:val="24"/>
                <w:szCs w:val="24"/>
              </w:rPr>
              <w:t>年</w:t>
            </w:r>
            <w:r>
              <w:rPr>
                <w:rFonts w:eastAsia="方正黑体_GBK" w:cs="Arial"/>
                <w:kern w:val="0"/>
                <w:sz w:val="24"/>
                <w:szCs w:val="24"/>
              </w:rPr>
              <w:t>)</w:t>
            </w:r>
          </w:p>
        </w:tc>
        <w:tc>
          <w:tcPr>
            <w:tcW w:w="0" w:type="auto"/>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植物粪肥养分需磷量</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（千克</w:t>
            </w:r>
            <w:r>
              <w:rPr>
                <w:rFonts w:eastAsia="方正黑体_GBK" w:cs="Arial"/>
                <w:kern w:val="0"/>
                <w:sz w:val="24"/>
                <w:szCs w:val="24"/>
              </w:rPr>
              <w:t>/</w:t>
            </w:r>
            <w:r>
              <w:rPr>
                <w:rFonts w:hint="eastAsia" w:eastAsia="方正黑体_GBK" w:cs="Arial"/>
                <w:kern w:val="0"/>
                <w:sz w:val="24"/>
                <w:szCs w:val="24"/>
              </w:rPr>
              <w:t>年</w:t>
            </w:r>
            <w:r>
              <w:rPr>
                <w:rFonts w:eastAsia="方正黑体_GBK" w:cs="Arial"/>
                <w:kern w:val="0"/>
                <w:sz w:val="24"/>
                <w:szCs w:val="24"/>
              </w:rPr>
              <w:t>)</w:t>
            </w:r>
          </w:p>
        </w:tc>
        <w:tc>
          <w:tcPr>
            <w:tcW w:w="1774"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区域畜禽粪污土地承载力</w:t>
            </w:r>
            <w:r>
              <w:rPr>
                <w:rFonts w:eastAsia="方正黑体_GBK" w:cs="Arial"/>
                <w:kern w:val="0"/>
                <w:sz w:val="24"/>
                <w:szCs w:val="24"/>
              </w:rPr>
              <w:t>/</w:t>
            </w:r>
            <w:r>
              <w:rPr>
                <w:rFonts w:hint="eastAsia" w:eastAsia="方正黑体_GBK" w:cs="Arial"/>
                <w:kern w:val="0"/>
                <w:sz w:val="24"/>
                <w:szCs w:val="24"/>
              </w:rPr>
              <w:t>猪当量</w:t>
            </w:r>
            <w:r>
              <w:rPr>
                <w:rFonts w:eastAsia="方正黑体_GBK" w:cs="Arial"/>
                <w:kern w:val="0"/>
                <w:sz w:val="24"/>
                <w:szCs w:val="24"/>
              </w:rPr>
              <w:t>/</w:t>
            </w:r>
            <w:r>
              <w:rPr>
                <w:rFonts w:hint="eastAsia" w:eastAsia="方正黑体_GBK" w:cs="Arial"/>
                <w:kern w:val="0"/>
                <w:sz w:val="24"/>
                <w:szCs w:val="24"/>
              </w:rPr>
              <w:t>万头</w:t>
            </w:r>
          </w:p>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（按磷计）</w:t>
            </w:r>
          </w:p>
        </w:tc>
        <w:tc>
          <w:tcPr>
            <w:tcW w:w="1984" w:type="dxa"/>
            <w:shd w:val="clear" w:color="auto" w:fill="auto"/>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区域畜禽粪污土地承载力负荷率（按磷计）（%）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德感街道</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1.74</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24816.00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18612.00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1.55</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几江街道</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7065.00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5298.75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0.44</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李市镇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5.59</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257277.00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192957.75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16.08</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吴滩镇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2.63</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158495.00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118871.25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9.91</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圣泉街道</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0.45</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33425.00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25068.75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2.09</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先锋镇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2.04</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204957.00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153717.75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12.81</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塘河镇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0.75</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77293.00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57969.75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4.83</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慈云镇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72997.00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54747.75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4.56</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夏坝镇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0.45</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50044.00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37533.00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3.13</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双福街道</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14429.00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10821.75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0.90</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龙华镇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0.86</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138626.00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103969.50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8.66</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白沙镇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2.66</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441754.00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331315.50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27.61</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油溪镇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1.47</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254254.00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190690.50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15.89</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柏林镇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0.71</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147575.00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110681.25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9.22</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支坪镇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0.50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106806.00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80104.50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6.68</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贾嗣镇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0.67</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159180.00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119385.00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9.95</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西湖镇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0.80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228686.00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171514.50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14.29</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蔡家镇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0.44</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158865.00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119148.75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9.93</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嘉平镇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0.29</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109093.00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81819.75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6.82</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杜市镇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0.35</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137300.00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102975.00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8.58</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广兴镇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0.11</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50288.00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37716.00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3.14</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珞璜镇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0.21</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131020.00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98265.00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8.19</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朱杨镇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0.21</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133774.00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100330.50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8.36</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永兴镇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0.32</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215735.00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161801.25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13.48</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四面山镇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0.03</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23421.00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17565.75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1.46</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石蟆镇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0.60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433880.00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325410.00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27.12</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石门镇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0.14</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166874.00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125155.50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10.43</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四屏镇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0.01</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22459.00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16844.25</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1.40</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中山镇</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0.02</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95206.00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71404.50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5.95</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鼎山街道</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0.00</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15800.00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11850.00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0.99</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shd w:val="clear" w:color="auto" w:fill="auto"/>
            <w:noWrap/>
            <w:vAlign w:val="center"/>
          </w:tcPr>
          <w:p>
            <w:pPr>
              <w:spacing w:line="300" w:lineRule="exact"/>
              <w:ind w:firstLine="0" w:firstLineChars="0"/>
              <w:jc w:val="center"/>
              <w:rPr>
                <w:rFonts w:cs="Arial"/>
                <w:kern w:val="0"/>
                <w:sz w:val="24"/>
                <w:szCs w:val="24"/>
              </w:rPr>
            </w:pPr>
            <w:r>
              <w:rPr>
                <w:rFonts w:hint="eastAsia" w:cs="Arial"/>
                <w:kern w:val="0"/>
                <w:sz w:val="24"/>
                <w:szCs w:val="24"/>
              </w:rPr>
              <w:t>总计</w:t>
            </w:r>
          </w:p>
        </w:tc>
        <w:tc>
          <w:tcPr>
            <w:tcW w:w="1245"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25.16</w:t>
            </w:r>
          </w:p>
        </w:tc>
        <w:tc>
          <w:tcPr>
            <w:tcW w:w="1353"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4071394.00</w:t>
            </w:r>
          </w:p>
        </w:tc>
        <w:tc>
          <w:tcPr>
            <w:tcW w:w="0" w:type="auto"/>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3053545.50</w:t>
            </w:r>
          </w:p>
        </w:tc>
        <w:tc>
          <w:tcPr>
            <w:tcW w:w="177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254.46</w:t>
            </w:r>
          </w:p>
        </w:tc>
        <w:tc>
          <w:tcPr>
            <w:tcW w:w="1984" w:type="dxa"/>
            <w:shd w:val="clear" w:color="auto" w:fill="auto"/>
            <w:noWrap/>
            <w:vAlign w:val="center"/>
          </w:tcPr>
          <w:p>
            <w:pPr>
              <w:spacing w:line="300" w:lineRule="exact"/>
              <w:ind w:firstLine="0" w:firstLineChars="0"/>
              <w:jc w:val="center"/>
              <w:rPr>
                <w:rFonts w:cs="Arial"/>
                <w:kern w:val="0"/>
                <w:sz w:val="24"/>
                <w:szCs w:val="24"/>
              </w:rPr>
            </w:pPr>
            <w:r>
              <w:rPr>
                <w:rFonts w:cs="Arial"/>
                <w:kern w:val="0"/>
                <w:sz w:val="24"/>
                <w:szCs w:val="24"/>
              </w:rPr>
              <w:t>9.89</w:t>
            </w:r>
          </w:p>
        </w:tc>
      </w:tr>
    </w:tbl>
    <w:p>
      <w:pPr>
        <w:spacing w:line="300" w:lineRule="exact"/>
        <w:ind w:firstLine="0" w:firstLineChars="0"/>
        <w:jc w:val="center"/>
        <w:rPr>
          <w:rFonts w:eastAsia="方正黑体_GBK" w:cs="Arial"/>
          <w:kern w:val="0"/>
          <w:sz w:val="24"/>
          <w:szCs w:val="24"/>
        </w:rPr>
      </w:pPr>
    </w:p>
    <w:p>
      <w:pPr>
        <w:ind w:firstLine="0" w:firstLineChars="0"/>
        <w:jc w:val="center"/>
      </w:pPr>
      <w:r>
        <w:drawing>
          <wp:inline distT="0" distB="0" distL="0" distR="0">
            <wp:extent cx="5615940" cy="3463290"/>
            <wp:effectExtent l="0" t="0" r="3810" b="381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图</w:t>
      </w:r>
      <w:r>
        <w:rPr>
          <w:rFonts w:eastAsia="方正黑体_GBK"/>
          <w:sz w:val="28"/>
          <w:szCs w:val="28"/>
        </w:rPr>
        <w:t xml:space="preserve">2-11  </w:t>
      </w:r>
      <w:r>
        <w:rPr>
          <w:rFonts w:hint="eastAsia" w:eastAsia="方正黑体_GBK"/>
          <w:sz w:val="28"/>
          <w:szCs w:val="28"/>
        </w:rPr>
        <w:t>区域畜禽粪污土地承载力对比图</w:t>
      </w:r>
    </w:p>
    <w:p>
      <w:pPr>
        <w:spacing w:line="560" w:lineRule="exact"/>
        <w:ind w:firstLine="632"/>
        <w:outlineLvl w:val="1"/>
        <w:rPr>
          <w:rFonts w:eastAsia="方正楷体_GBK"/>
          <w:szCs w:val="32"/>
        </w:rPr>
      </w:pPr>
      <w:bookmarkStart w:id="20" w:name="_Toc79166986"/>
      <w:r>
        <w:rPr>
          <w:rFonts w:hint="eastAsia" w:eastAsia="方正楷体_GBK"/>
          <w:szCs w:val="32"/>
        </w:rPr>
        <w:t>（五）畜禽养殖污染防治现状</w:t>
      </w:r>
      <w:bookmarkEnd w:id="20"/>
    </w:p>
    <w:p>
      <w:pPr>
        <w:ind w:firstLine="632"/>
      </w:pPr>
      <w:r>
        <w:rPr>
          <w:rFonts w:hint="eastAsia"/>
        </w:rPr>
        <w:t>1</w:t>
      </w:r>
      <w:r>
        <w:t>.</w:t>
      </w:r>
      <w:r>
        <w:rPr>
          <w:rFonts w:hint="eastAsia"/>
        </w:rPr>
        <w:t>环评现状</w:t>
      </w:r>
    </w:p>
    <w:p>
      <w:pPr>
        <w:ind w:firstLine="632"/>
      </w:pPr>
      <w:r>
        <w:rPr>
          <w:rFonts w:hint="eastAsia"/>
        </w:rPr>
        <w:t>江津区已进行环评或备案的畜禽养殖场有</w:t>
      </w:r>
      <w:r>
        <w:t>129</w:t>
      </w:r>
      <w:r>
        <w:rPr>
          <w:rFonts w:hint="eastAsia"/>
        </w:rPr>
        <w:t>家，占全区比例为</w:t>
      </w:r>
      <w:r>
        <w:t>18.53</w:t>
      </w:r>
      <w:r>
        <w:rPr>
          <w:rFonts w:hint="eastAsia"/>
        </w:rPr>
        <w:t>%；其中已环评的为6</w:t>
      </w:r>
      <w:r>
        <w:t>2</w:t>
      </w:r>
      <w:r>
        <w:rPr>
          <w:rFonts w:hint="eastAsia"/>
        </w:rPr>
        <w:t>家，占全区比例为8</w:t>
      </w:r>
      <w:r>
        <w:t>.91</w:t>
      </w:r>
      <w:r>
        <w:rPr>
          <w:rFonts w:hint="eastAsia"/>
        </w:rPr>
        <w:t>%；已备案的为</w:t>
      </w:r>
      <w:r>
        <w:t>49</w:t>
      </w:r>
      <w:r>
        <w:rPr>
          <w:rFonts w:hint="eastAsia"/>
        </w:rPr>
        <w:t>家，占全区比例为</w:t>
      </w:r>
      <w:r>
        <w:t>7.04</w:t>
      </w:r>
      <w:r>
        <w:rPr>
          <w:rFonts w:hint="eastAsia"/>
        </w:rPr>
        <w:t>%；免备案的为1</w:t>
      </w:r>
      <w:r>
        <w:t>8</w:t>
      </w:r>
      <w:r>
        <w:rPr>
          <w:rFonts w:hint="eastAsia"/>
        </w:rPr>
        <w:t>家，占全区比例为</w:t>
      </w:r>
      <w:r>
        <w:t>2.59</w:t>
      </w:r>
      <w:r>
        <w:rPr>
          <w:rFonts w:hint="eastAsia"/>
        </w:rPr>
        <w:t>%。未进行环评或备案的畜禽养殖场有</w:t>
      </w:r>
      <w:r>
        <w:t>567</w:t>
      </w:r>
      <w:r>
        <w:rPr>
          <w:rFonts w:hint="eastAsia"/>
        </w:rPr>
        <w:t>家，占全区比例为</w:t>
      </w:r>
      <w:r>
        <w:t>81.47</w:t>
      </w:r>
      <w:r>
        <w:rPr>
          <w:rFonts w:hint="eastAsia"/>
        </w:rPr>
        <w:t>%；其中能进行环评补办的为</w:t>
      </w:r>
      <w:r>
        <w:t>55</w:t>
      </w:r>
      <w:r>
        <w:rPr>
          <w:rFonts w:hint="eastAsia"/>
        </w:rPr>
        <w:t>家，占全区比例为</w:t>
      </w:r>
      <w:r>
        <w:t>7.90</w:t>
      </w:r>
      <w:r>
        <w:rPr>
          <w:rFonts w:hint="eastAsia"/>
        </w:rPr>
        <w:t>%；不需要进行环评补办的为</w:t>
      </w:r>
      <w:r>
        <w:t>512</w:t>
      </w:r>
      <w:r>
        <w:rPr>
          <w:rFonts w:hint="eastAsia"/>
        </w:rPr>
        <w:t>家，占全区比例为</w:t>
      </w:r>
      <w:r>
        <w:t>73.56</w:t>
      </w:r>
      <w:r>
        <w:rPr>
          <w:rFonts w:hint="eastAsia"/>
        </w:rPr>
        <w:t>%。</w:t>
      </w:r>
    </w:p>
    <w:p>
      <w:pPr>
        <w:tabs>
          <w:tab w:val="left" w:pos="1580"/>
        </w:tabs>
        <w:spacing w:line="560" w:lineRule="exact"/>
        <w:ind w:firstLine="0" w:firstLineChars="0"/>
        <w:jc w:val="center"/>
        <w:rPr>
          <w:rFonts w:eastAsia="方正黑体_GBK"/>
          <w:sz w:val="28"/>
          <w:szCs w:val="28"/>
        </w:rPr>
      </w:pPr>
      <w:r>
        <w:rPr>
          <w:rFonts w:hint="eastAsia" w:eastAsia="方正黑体_GBK"/>
          <w:sz w:val="28"/>
          <w:szCs w:val="28"/>
        </w:rPr>
        <w:t>表</w:t>
      </w:r>
      <w:r>
        <w:rPr>
          <w:rFonts w:eastAsia="方正黑体_GBK"/>
          <w:sz w:val="28"/>
          <w:szCs w:val="28"/>
        </w:rPr>
        <w:t xml:space="preserve">2-16  </w:t>
      </w:r>
      <w:r>
        <w:rPr>
          <w:rFonts w:hint="eastAsia" w:eastAsia="方正黑体_GBK"/>
          <w:sz w:val="28"/>
          <w:szCs w:val="28"/>
        </w:rPr>
        <w:t>江津区畜禽养殖场环评现状表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747"/>
        <w:gridCol w:w="1828"/>
        <w:gridCol w:w="1828"/>
        <w:gridCol w:w="1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72" w:type="pct"/>
            <w:gridSpan w:val="2"/>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环评</w:t>
            </w:r>
          </w:p>
        </w:tc>
        <w:tc>
          <w:tcPr>
            <w:tcW w:w="1009"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能否补办</w:t>
            </w:r>
          </w:p>
        </w:tc>
        <w:tc>
          <w:tcPr>
            <w:tcW w:w="1009"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数量</w:t>
            </w:r>
          </w:p>
        </w:tc>
        <w:tc>
          <w:tcPr>
            <w:tcW w:w="1009" w:type="pct"/>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已进行环评或备案</w:t>
            </w:r>
          </w:p>
        </w:tc>
        <w:tc>
          <w:tcPr>
            <w:tcW w:w="964"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已环评</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62</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8.91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Merge w:val="continue"/>
            <w:vAlign w:val="center"/>
          </w:tcPr>
          <w:p>
            <w:pPr>
              <w:widowControl/>
              <w:spacing w:line="300" w:lineRule="exact"/>
              <w:ind w:firstLine="0" w:firstLineChars="0"/>
              <w:jc w:val="center"/>
              <w:rPr>
                <w:rFonts w:cs="Arial"/>
                <w:kern w:val="0"/>
                <w:sz w:val="24"/>
                <w:szCs w:val="24"/>
              </w:rPr>
            </w:pPr>
          </w:p>
        </w:tc>
        <w:tc>
          <w:tcPr>
            <w:tcW w:w="964"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已备案</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49</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7.04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Merge w:val="continue"/>
            <w:vAlign w:val="center"/>
          </w:tcPr>
          <w:p>
            <w:pPr>
              <w:widowControl/>
              <w:spacing w:line="300" w:lineRule="exact"/>
              <w:ind w:firstLine="0" w:firstLineChars="0"/>
              <w:jc w:val="center"/>
              <w:rPr>
                <w:rFonts w:cs="Arial"/>
                <w:kern w:val="0"/>
                <w:sz w:val="24"/>
                <w:szCs w:val="24"/>
              </w:rPr>
            </w:pPr>
          </w:p>
        </w:tc>
        <w:tc>
          <w:tcPr>
            <w:tcW w:w="964"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免备案</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18</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9" w:type="pct"/>
            <w:vMerge w:val="continue"/>
            <w:vAlign w:val="center"/>
          </w:tcPr>
          <w:p>
            <w:pPr>
              <w:widowControl/>
              <w:spacing w:line="300" w:lineRule="exact"/>
              <w:ind w:firstLine="0" w:firstLineChars="0"/>
              <w:jc w:val="center"/>
              <w:rPr>
                <w:rFonts w:cs="Arial"/>
                <w:kern w:val="0"/>
                <w:sz w:val="24"/>
                <w:szCs w:val="24"/>
              </w:rPr>
            </w:pPr>
          </w:p>
        </w:tc>
        <w:tc>
          <w:tcPr>
            <w:tcW w:w="964"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合计</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129</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18.53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pct"/>
            <w:gridSpan w:val="2"/>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未进行环评或备案</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可以补办</w:t>
            </w:r>
          </w:p>
        </w:tc>
        <w:tc>
          <w:tcPr>
            <w:tcW w:w="1009" w:type="pct"/>
            <w:vAlign w:val="center"/>
          </w:tcPr>
          <w:p>
            <w:pPr>
              <w:widowControl/>
              <w:spacing w:line="300" w:lineRule="exact"/>
              <w:ind w:firstLine="0" w:firstLineChars="0"/>
              <w:jc w:val="center"/>
              <w:rPr>
                <w:rFonts w:cs="Arial"/>
                <w:kern w:val="0"/>
                <w:sz w:val="24"/>
                <w:szCs w:val="24"/>
              </w:rPr>
            </w:pPr>
            <w:r>
              <w:rPr>
                <w:rFonts w:cs="Arial"/>
                <w:kern w:val="0"/>
                <w:sz w:val="24"/>
                <w:szCs w:val="24"/>
              </w:rPr>
              <w:t>55</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pct"/>
            <w:gridSpan w:val="2"/>
            <w:vMerge w:val="continue"/>
            <w:vAlign w:val="center"/>
          </w:tcPr>
          <w:p>
            <w:pPr>
              <w:widowControl/>
              <w:spacing w:line="300" w:lineRule="exact"/>
              <w:ind w:firstLine="0" w:firstLineChars="0"/>
              <w:jc w:val="center"/>
              <w:rPr>
                <w:rFonts w:cs="Arial"/>
                <w:kern w:val="0"/>
                <w:sz w:val="24"/>
                <w:szCs w:val="24"/>
              </w:rPr>
            </w:pP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不需补办</w:t>
            </w: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5</w:t>
            </w:r>
            <w:r>
              <w:rPr>
                <w:rFonts w:cs="Arial"/>
                <w:kern w:val="0"/>
                <w:sz w:val="24"/>
                <w:szCs w:val="24"/>
              </w:rPr>
              <w:t>12</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73.56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2" w:type="pct"/>
            <w:gridSpan w:val="2"/>
            <w:vMerge w:val="continue"/>
            <w:vAlign w:val="center"/>
          </w:tcPr>
          <w:p>
            <w:pPr>
              <w:widowControl/>
              <w:spacing w:line="300" w:lineRule="exact"/>
              <w:ind w:firstLine="0" w:firstLineChars="0"/>
              <w:jc w:val="center"/>
              <w:rPr>
                <w:rFonts w:cs="Arial"/>
                <w:kern w:val="0"/>
                <w:sz w:val="24"/>
                <w:szCs w:val="24"/>
              </w:rPr>
            </w:pPr>
          </w:p>
        </w:tc>
        <w:tc>
          <w:tcPr>
            <w:tcW w:w="1009" w:type="pc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合计</w:t>
            </w:r>
          </w:p>
        </w:tc>
        <w:tc>
          <w:tcPr>
            <w:tcW w:w="1009" w:type="pct"/>
            <w:vAlign w:val="center"/>
          </w:tcPr>
          <w:p>
            <w:pPr>
              <w:widowControl/>
              <w:spacing w:line="300" w:lineRule="exact"/>
              <w:ind w:firstLine="0" w:firstLineChars="0"/>
              <w:jc w:val="center"/>
              <w:rPr>
                <w:rFonts w:cs="Arial"/>
                <w:kern w:val="0"/>
                <w:sz w:val="24"/>
                <w:szCs w:val="24"/>
              </w:rPr>
            </w:pPr>
            <w:r>
              <w:rPr>
                <w:rFonts w:cs="Arial"/>
                <w:kern w:val="0"/>
                <w:sz w:val="24"/>
                <w:szCs w:val="24"/>
              </w:rPr>
              <w:t>567</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81.47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pct"/>
            <w:gridSpan w:val="3"/>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总计</w:t>
            </w:r>
          </w:p>
        </w:tc>
        <w:tc>
          <w:tcPr>
            <w:tcW w:w="1009" w:type="pct"/>
            <w:vAlign w:val="center"/>
          </w:tcPr>
          <w:p>
            <w:pPr>
              <w:widowControl/>
              <w:spacing w:line="300" w:lineRule="exact"/>
              <w:ind w:firstLine="0" w:firstLineChars="0"/>
              <w:jc w:val="center"/>
              <w:rPr>
                <w:rFonts w:cs="Arial"/>
                <w:kern w:val="0"/>
                <w:sz w:val="24"/>
                <w:szCs w:val="24"/>
              </w:rPr>
            </w:pPr>
            <w:r>
              <w:rPr>
                <w:rFonts w:cs="Arial"/>
                <w:kern w:val="0"/>
                <w:sz w:val="24"/>
                <w:szCs w:val="24"/>
              </w:rPr>
              <w:t>696</w:t>
            </w:r>
          </w:p>
        </w:tc>
        <w:tc>
          <w:tcPr>
            <w:tcW w:w="1009" w:type="pct"/>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100.00 </w:t>
            </w:r>
          </w:p>
        </w:tc>
      </w:tr>
    </w:tbl>
    <w:p>
      <w:pPr>
        <w:tabs>
          <w:tab w:val="left" w:pos="1580"/>
        </w:tabs>
        <w:spacing w:line="560" w:lineRule="exact"/>
        <w:ind w:firstLine="0" w:firstLineChars="0"/>
        <w:jc w:val="center"/>
        <w:rPr>
          <w:rFonts w:eastAsia="方正黑体_GBK"/>
          <w:sz w:val="28"/>
          <w:szCs w:val="28"/>
        </w:rPr>
      </w:pPr>
    </w:p>
    <w:p>
      <w:pPr>
        <w:ind w:firstLine="632"/>
      </w:pPr>
      <w:r>
        <w:rPr>
          <w:rFonts w:hint="eastAsia"/>
        </w:rPr>
        <w:t>2</w:t>
      </w:r>
      <w:r>
        <w:t>.</w:t>
      </w:r>
      <w:r>
        <w:rPr>
          <w:rFonts w:hint="eastAsia"/>
        </w:rPr>
        <w:t>处理工艺现状</w:t>
      </w:r>
    </w:p>
    <w:p>
      <w:pPr>
        <w:ind w:firstLine="632"/>
      </w:pPr>
      <w:r>
        <w:rPr>
          <w:rFonts w:hint="eastAsia"/>
        </w:rPr>
        <w:t>江津区畜禽养殖场有干清粪、雨污分流、种养结合等处理工艺，其中使用干清粪处理工艺的为</w:t>
      </w:r>
      <w:r>
        <w:t>457</w:t>
      </w:r>
      <w:r>
        <w:rPr>
          <w:rFonts w:hint="eastAsia"/>
        </w:rPr>
        <w:t>家，占全区比例为6</w:t>
      </w:r>
      <w:r>
        <w:t>5.66</w:t>
      </w:r>
      <w:r>
        <w:rPr>
          <w:rFonts w:hint="eastAsia"/>
        </w:rPr>
        <w:t>%；已进行雨污分流的为</w:t>
      </w:r>
      <w:r>
        <w:t>536</w:t>
      </w:r>
      <w:r>
        <w:rPr>
          <w:rFonts w:hint="eastAsia"/>
        </w:rPr>
        <w:t>家，占全区比例为</w:t>
      </w:r>
      <w:r>
        <w:t>77.01</w:t>
      </w:r>
      <w:r>
        <w:rPr>
          <w:rFonts w:hint="eastAsia"/>
        </w:rPr>
        <w:t>%；使用种养结合工艺的为</w:t>
      </w:r>
      <w:r>
        <w:t>259</w:t>
      </w:r>
      <w:r>
        <w:rPr>
          <w:rFonts w:hint="eastAsia"/>
        </w:rPr>
        <w:t>家，占全区比例为</w:t>
      </w:r>
      <w:r>
        <w:t>37.21</w:t>
      </w:r>
      <w:r>
        <w:rPr>
          <w:rFonts w:hint="eastAsia"/>
        </w:rPr>
        <w:t>%；使用垫草垫料处理工艺的为4</w:t>
      </w:r>
      <w:r>
        <w:t>9</w:t>
      </w:r>
      <w:r>
        <w:rPr>
          <w:rFonts w:hint="eastAsia"/>
        </w:rPr>
        <w:t>家，占全区比例为</w:t>
      </w:r>
      <w:r>
        <w:t>7.04</w:t>
      </w:r>
      <w:r>
        <w:rPr>
          <w:rFonts w:hint="eastAsia"/>
        </w:rPr>
        <w:t>%。</w:t>
      </w:r>
    </w:p>
    <w:p>
      <w:pPr>
        <w:ind w:firstLine="0" w:firstLineChars="0"/>
        <w:jc w:val="center"/>
      </w:pPr>
      <w:r>
        <w:rPr>
          <w:rFonts w:hint="eastAsia" w:eastAsia="方正黑体_GBK"/>
          <w:sz w:val="28"/>
          <w:szCs w:val="28"/>
        </w:rPr>
        <w:t>表</w:t>
      </w:r>
      <w:r>
        <w:rPr>
          <w:rFonts w:eastAsia="方正黑体_GBK"/>
          <w:sz w:val="28"/>
          <w:szCs w:val="28"/>
        </w:rPr>
        <w:t xml:space="preserve">2-17  </w:t>
      </w:r>
      <w:r>
        <w:rPr>
          <w:rFonts w:hint="eastAsia" w:eastAsia="方正黑体_GBK"/>
          <w:sz w:val="28"/>
          <w:szCs w:val="28"/>
        </w:rPr>
        <w:t>江津区畜禽养殖场处理工艺现状表</w:t>
      </w:r>
    </w:p>
    <w:tbl>
      <w:tblPr>
        <w:tblStyle w:val="10"/>
        <w:tblW w:w="44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2031"/>
        <w:gridCol w:w="2179"/>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2411" w:type="pct"/>
            <w:gridSpan w:val="2"/>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处理工艺</w:t>
            </w:r>
          </w:p>
        </w:tc>
        <w:tc>
          <w:tcPr>
            <w:tcW w:w="1339"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数量</w:t>
            </w:r>
          </w:p>
        </w:tc>
        <w:tc>
          <w:tcPr>
            <w:tcW w:w="1250" w:type="pct"/>
            <w:shd w:val="clear" w:color="auto" w:fill="auto"/>
            <w:noWrap/>
            <w:vAlign w:val="center"/>
          </w:tcPr>
          <w:p>
            <w:pPr>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干清粪</w:t>
            </w: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是</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457</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65.66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continue"/>
            <w:vAlign w:val="center"/>
          </w:tcPr>
          <w:p>
            <w:pPr>
              <w:widowControl/>
              <w:spacing w:line="300" w:lineRule="exact"/>
              <w:ind w:firstLine="0" w:firstLineChars="0"/>
              <w:jc w:val="center"/>
              <w:rPr>
                <w:rFonts w:cs="Arial"/>
                <w:kern w:val="0"/>
                <w:sz w:val="24"/>
                <w:szCs w:val="24"/>
              </w:rPr>
            </w:pP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否</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239</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34.34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雨污分流</w:t>
            </w: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是</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536</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77.01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continue"/>
            <w:vAlign w:val="center"/>
          </w:tcPr>
          <w:p>
            <w:pPr>
              <w:widowControl/>
              <w:spacing w:line="300" w:lineRule="exact"/>
              <w:ind w:firstLine="0" w:firstLineChars="0"/>
              <w:jc w:val="center"/>
              <w:rPr>
                <w:rFonts w:cs="Arial"/>
                <w:kern w:val="0"/>
                <w:sz w:val="24"/>
                <w:szCs w:val="24"/>
              </w:rPr>
            </w:pP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否</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160</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22.99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163" w:type="pct"/>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种养结合</w:t>
            </w: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是</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259</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37.21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continue"/>
            <w:vAlign w:val="center"/>
          </w:tcPr>
          <w:p>
            <w:pPr>
              <w:widowControl/>
              <w:spacing w:line="300" w:lineRule="exact"/>
              <w:ind w:firstLine="0" w:firstLineChars="0"/>
              <w:jc w:val="center"/>
              <w:rPr>
                <w:rFonts w:cs="Arial"/>
                <w:kern w:val="0"/>
                <w:sz w:val="24"/>
                <w:szCs w:val="24"/>
              </w:rPr>
            </w:pP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否</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437</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62.79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restart"/>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垫草垫料</w:t>
            </w: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是</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4</w:t>
            </w:r>
            <w:r>
              <w:rPr>
                <w:rFonts w:cs="Arial"/>
                <w:kern w:val="0"/>
                <w:sz w:val="24"/>
                <w:szCs w:val="24"/>
              </w:rPr>
              <w:t>9</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7.04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163" w:type="pct"/>
            <w:vMerge w:val="continue"/>
            <w:vAlign w:val="center"/>
          </w:tcPr>
          <w:p>
            <w:pPr>
              <w:widowControl/>
              <w:spacing w:line="300" w:lineRule="exact"/>
              <w:ind w:firstLine="0" w:firstLineChars="0"/>
              <w:jc w:val="center"/>
              <w:rPr>
                <w:rFonts w:cs="Arial"/>
                <w:kern w:val="0"/>
                <w:sz w:val="24"/>
                <w:szCs w:val="24"/>
              </w:rPr>
            </w:pPr>
          </w:p>
        </w:tc>
        <w:tc>
          <w:tcPr>
            <w:tcW w:w="1247"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否</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647</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cs="Times New Roman"/>
                <w:sz w:val="24"/>
                <w:szCs w:val="24"/>
              </w:rPr>
              <w:t xml:space="preserve">92.96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11" w:type="pct"/>
            <w:gridSpan w:val="2"/>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畜禽养殖场总数量</w:t>
            </w:r>
          </w:p>
        </w:tc>
        <w:tc>
          <w:tcPr>
            <w:tcW w:w="1339" w:type="pct"/>
            <w:shd w:val="clear" w:color="auto" w:fill="auto"/>
            <w:noWrap/>
            <w:vAlign w:val="center"/>
          </w:tcPr>
          <w:p>
            <w:pPr>
              <w:widowControl/>
              <w:spacing w:line="300" w:lineRule="exact"/>
              <w:ind w:firstLine="0" w:firstLineChars="0"/>
              <w:jc w:val="center"/>
              <w:rPr>
                <w:rFonts w:cs="Arial"/>
                <w:kern w:val="0"/>
                <w:sz w:val="24"/>
                <w:szCs w:val="24"/>
              </w:rPr>
            </w:pPr>
            <w:r>
              <w:rPr>
                <w:rFonts w:cs="Arial"/>
                <w:kern w:val="0"/>
                <w:sz w:val="24"/>
                <w:szCs w:val="24"/>
              </w:rPr>
              <w:t>696</w:t>
            </w:r>
          </w:p>
        </w:tc>
        <w:tc>
          <w:tcPr>
            <w:tcW w:w="1250" w:type="pct"/>
            <w:shd w:val="clear" w:color="auto" w:fill="auto"/>
            <w:noWrap/>
            <w:vAlign w:val="center"/>
          </w:tcPr>
          <w:p>
            <w:pPr>
              <w:widowControl/>
              <w:spacing w:line="300" w:lineRule="exact"/>
              <w:ind w:firstLine="0" w:firstLineChars="0"/>
              <w:jc w:val="center"/>
              <w:rPr>
                <w:rFonts w:cs="Arial"/>
                <w:kern w:val="0"/>
                <w:sz w:val="24"/>
                <w:szCs w:val="24"/>
              </w:rPr>
            </w:pPr>
            <w:r>
              <w:rPr>
                <w:rFonts w:hint="eastAsia" w:cs="Arial"/>
                <w:kern w:val="0"/>
                <w:sz w:val="24"/>
                <w:szCs w:val="24"/>
              </w:rPr>
              <w:t>1</w:t>
            </w:r>
            <w:r>
              <w:rPr>
                <w:rFonts w:cs="Arial"/>
                <w:kern w:val="0"/>
                <w:sz w:val="24"/>
                <w:szCs w:val="24"/>
              </w:rPr>
              <w:t>00.00</w:t>
            </w:r>
          </w:p>
        </w:tc>
      </w:tr>
    </w:tbl>
    <w:p>
      <w:pPr>
        <w:ind w:firstLine="632"/>
      </w:pPr>
    </w:p>
    <w:p>
      <w:pPr>
        <w:spacing w:after="115" w:afterLines="20" w:line="560" w:lineRule="exact"/>
        <w:ind w:firstLine="632"/>
        <w:outlineLvl w:val="0"/>
        <w:rPr>
          <w:rFonts w:eastAsia="方正黑体_GBK"/>
          <w:szCs w:val="32"/>
        </w:rPr>
      </w:pPr>
      <w:bookmarkStart w:id="21" w:name="_Toc79166987"/>
      <w:r>
        <w:rPr>
          <w:rFonts w:hint="eastAsia" w:eastAsia="方正黑体_GBK"/>
          <w:szCs w:val="32"/>
        </w:rPr>
        <w:t>三、指导思想、基本原则、主要目标</w:t>
      </w:r>
      <w:bookmarkEnd w:id="21"/>
    </w:p>
    <w:p>
      <w:pPr>
        <w:ind w:firstLine="632"/>
        <w:outlineLvl w:val="1"/>
        <w:rPr>
          <w:rFonts w:eastAsia="方正楷体_GBK"/>
          <w:szCs w:val="32"/>
        </w:rPr>
      </w:pPr>
      <w:bookmarkStart w:id="22" w:name="_Toc79166988"/>
      <w:r>
        <w:rPr>
          <w:rFonts w:hint="eastAsia" w:eastAsia="方正楷体_GBK"/>
          <w:szCs w:val="32"/>
        </w:rPr>
        <w:t>（一）指导思想</w:t>
      </w:r>
      <w:bookmarkEnd w:id="22"/>
    </w:p>
    <w:p>
      <w:pPr>
        <w:ind w:firstLine="632"/>
      </w:pPr>
      <w:r>
        <w:rPr>
          <w:rFonts w:hint="eastAsia"/>
        </w:rPr>
        <w:t>以习近平新时代中国特色社会主义思想为指导，全面贯彻党的十九大和十九届二中、三中、四中、五中全会精神，深化落实习近平总书记对重庆提出的营造良好政治生态，坚持“两点”定位、“两地”“两高”目标，发挥“三个作用”和推动成渝地区双城经济圈建设等重要指示要求，依据《畜禽规模养殖污染防治条例》，以改善区域环境质量、促进畜牧业高质量发展为核心，以推动畜禽养殖废弃物资源化利用和主要污染物减排为主要工作内容，以规模化畜禽养殖场为重点单元，初步建立畜禽养殖污染防治体系，构建种养结合、农牧循环的可持续发展新格局，降低危害群众健康和环境质量的畜禽养殖污染风险，推进农村生态文明建设，为全面建设美丽江津提供环境安全保障。</w:t>
      </w:r>
    </w:p>
    <w:p>
      <w:pPr>
        <w:ind w:firstLine="632"/>
        <w:outlineLvl w:val="1"/>
        <w:rPr>
          <w:rFonts w:eastAsia="方正楷体_GBK"/>
          <w:szCs w:val="32"/>
        </w:rPr>
      </w:pPr>
      <w:bookmarkStart w:id="23" w:name="_Toc79166989"/>
      <w:r>
        <w:rPr>
          <w:rFonts w:hint="eastAsia" w:eastAsia="方正楷体_GBK"/>
          <w:szCs w:val="32"/>
        </w:rPr>
        <w:t>（二）基本原则</w:t>
      </w:r>
      <w:bookmarkEnd w:id="23"/>
    </w:p>
    <w:p>
      <w:pPr>
        <w:ind w:firstLine="632"/>
      </w:pPr>
      <w:r>
        <w:rPr>
          <w:rFonts w:hint="eastAsia" w:eastAsia="方正楷体_GBK"/>
        </w:rPr>
        <w:t>统筹兼顾，突出重点。</w:t>
      </w:r>
      <w:r>
        <w:rPr>
          <w:rFonts w:hint="eastAsia"/>
        </w:rPr>
        <w:t>统筹环境保护与产业发展、污染预防与治理的关系，在全面推进畜禽养殖污染防治工作的同时，加大重点区域和重点养殖单元的整治力度，有针对性地实施一批重点工程。</w:t>
      </w:r>
    </w:p>
    <w:p>
      <w:pPr>
        <w:ind w:firstLine="632"/>
      </w:pPr>
      <w:r>
        <w:rPr>
          <w:rFonts w:hint="eastAsia" w:eastAsia="方正楷体_GBK"/>
        </w:rPr>
        <w:t>预防为主，利用优先。</w:t>
      </w:r>
      <w:r>
        <w:rPr>
          <w:rFonts w:hint="eastAsia"/>
        </w:rPr>
        <w:t>从产业布局、环境准入、生产过程监管等环节，提出畜禽养殖污染“源头”预防措施。在技术模式选取、管理措施制定方面，突出畜禽养殖污染防治工作特点，始终将畜禽养殖废弃物综合利用放在优先位置。</w:t>
      </w:r>
    </w:p>
    <w:p>
      <w:pPr>
        <w:ind w:firstLine="632"/>
      </w:pPr>
      <w:r>
        <w:rPr>
          <w:rFonts w:hint="eastAsia" w:eastAsia="方正楷体_GBK"/>
        </w:rPr>
        <w:t>因地制宜，分类管控。</w:t>
      </w:r>
      <w:r>
        <w:rPr>
          <w:rFonts w:hint="eastAsia"/>
        </w:rPr>
        <w:t>充分考虑畜禽养殖污染防治工作的复杂性，对不同区域、不同养殖规模的畜禽养殖单元区别对待，提出差异化管控措施，提高污染防治成效。</w:t>
      </w:r>
    </w:p>
    <w:p>
      <w:pPr>
        <w:ind w:firstLine="632"/>
      </w:pPr>
      <w:r>
        <w:rPr>
          <w:rFonts w:hint="eastAsia" w:eastAsia="方正楷体_GBK"/>
        </w:rPr>
        <w:t>疏堵结合，双管齐下。</w:t>
      </w:r>
      <w:r>
        <w:rPr>
          <w:rFonts w:hint="eastAsia"/>
        </w:rPr>
        <w:t>通过制定和落实信贷、税收、补贴等经济激励措施，引导畜禽养殖业废弃物综合利用和污染防治，推动生产方式生态化转型。同时，完善规范标准、监督执法等约束手段，强化畜禽养殖业发展的环境监管，对重点区域和重点养殖单元实施严格管控。</w:t>
      </w:r>
    </w:p>
    <w:p>
      <w:pPr>
        <w:ind w:firstLine="632"/>
      </w:pPr>
      <w:r>
        <w:rPr>
          <w:rFonts w:hint="eastAsia" w:eastAsia="方正楷体_GBK"/>
        </w:rPr>
        <w:t>多方联动，合力推进。</w:t>
      </w:r>
      <w:r>
        <w:rPr>
          <w:rFonts w:hint="eastAsia"/>
        </w:rPr>
        <w:t>充分发挥畜禽养殖污染防治有关部门的信息、资源优势，建立多部门协调联动机制，共同推进畜禽养殖污染防治工作。建立政府、企业、社会多元化投入机制，加大畜禽养殖污染防治投入力度。</w:t>
      </w:r>
    </w:p>
    <w:p>
      <w:pPr>
        <w:ind w:firstLine="632"/>
        <w:outlineLvl w:val="1"/>
        <w:rPr>
          <w:rFonts w:eastAsia="方正楷体_GBK"/>
          <w:szCs w:val="32"/>
        </w:rPr>
      </w:pPr>
      <w:bookmarkStart w:id="24" w:name="_Toc79166990"/>
      <w:r>
        <w:rPr>
          <w:rFonts w:hint="eastAsia" w:eastAsia="方正楷体_GBK"/>
          <w:szCs w:val="32"/>
        </w:rPr>
        <w:t>（三）编制依据</w:t>
      </w:r>
      <w:bookmarkEnd w:id="24"/>
    </w:p>
    <w:p>
      <w:pPr>
        <w:ind w:firstLine="632"/>
      </w:pPr>
      <w:r>
        <w:rPr>
          <w:rFonts w:hint="eastAsia"/>
        </w:rPr>
        <w:t>（</w:t>
      </w:r>
      <w:r>
        <w:t>1</w:t>
      </w:r>
      <w:r>
        <w:rPr>
          <w:rFonts w:hint="eastAsia"/>
        </w:rPr>
        <w:t>）《中华人民共和国环境保护法》（2</w:t>
      </w:r>
      <w:r>
        <w:t>014</w:t>
      </w:r>
      <w:r>
        <w:rPr>
          <w:rFonts w:hint="eastAsia"/>
        </w:rPr>
        <w:t>年修订版）</w:t>
      </w:r>
    </w:p>
    <w:p>
      <w:pPr>
        <w:ind w:firstLine="632"/>
      </w:pPr>
      <w:r>
        <w:rPr>
          <w:rFonts w:hint="eastAsia"/>
        </w:rPr>
        <w:t>（</w:t>
      </w:r>
      <w:r>
        <w:t>2</w:t>
      </w:r>
      <w:r>
        <w:rPr>
          <w:rFonts w:hint="eastAsia"/>
        </w:rPr>
        <w:t>）《中华人民共和国动物防疫法》（2</w:t>
      </w:r>
      <w:r>
        <w:t>021</w:t>
      </w:r>
      <w:r>
        <w:rPr>
          <w:rFonts w:hint="eastAsia"/>
        </w:rPr>
        <w:t>年修订版）</w:t>
      </w:r>
    </w:p>
    <w:p>
      <w:pPr>
        <w:ind w:firstLine="632"/>
      </w:pPr>
      <w:r>
        <w:rPr>
          <w:rFonts w:hint="eastAsia"/>
        </w:rPr>
        <w:t>（</w:t>
      </w:r>
      <w:r>
        <w:t>3</w:t>
      </w:r>
      <w:r>
        <w:rPr>
          <w:rFonts w:hint="eastAsia"/>
        </w:rPr>
        <w:t>）《中华人民共和国水污染防治法》（2</w:t>
      </w:r>
      <w:r>
        <w:t>017</w:t>
      </w:r>
      <w:r>
        <w:rPr>
          <w:rFonts w:hint="eastAsia"/>
        </w:rPr>
        <w:t>年修订版）</w:t>
      </w:r>
    </w:p>
    <w:p>
      <w:pPr>
        <w:ind w:firstLine="632"/>
      </w:pPr>
      <w:r>
        <w:rPr>
          <w:rFonts w:hint="eastAsia"/>
        </w:rPr>
        <w:t>（</w:t>
      </w:r>
      <w:r>
        <w:t>4</w:t>
      </w:r>
      <w:r>
        <w:rPr>
          <w:rFonts w:hint="eastAsia"/>
        </w:rPr>
        <w:t>）《中华人民共和国固体废物污染环境防治法》（2</w:t>
      </w:r>
      <w:r>
        <w:t>020</w:t>
      </w:r>
      <w:r>
        <w:rPr>
          <w:rFonts w:hint="eastAsia"/>
        </w:rPr>
        <w:t>修订版）</w:t>
      </w:r>
    </w:p>
    <w:p>
      <w:pPr>
        <w:ind w:firstLine="632"/>
      </w:pPr>
      <w:r>
        <w:rPr>
          <w:rFonts w:hint="eastAsia"/>
        </w:rPr>
        <w:t>（5）《畜禽规模养殖污染防治条例》（国务院</w:t>
      </w:r>
      <w:r>
        <w:t>643</w:t>
      </w:r>
      <w:r>
        <w:rPr>
          <w:rFonts w:hint="eastAsia"/>
        </w:rPr>
        <w:t>号令）</w:t>
      </w:r>
    </w:p>
    <w:p>
      <w:pPr>
        <w:ind w:firstLine="632"/>
      </w:pPr>
      <w:r>
        <w:rPr>
          <w:rFonts w:hint="eastAsia"/>
        </w:rPr>
        <w:t>（6）《关于进一步规范畜禽养殖禁养区划定和管理促进生猪生产发展的通知》（环办土壤〔2019〕55号）</w:t>
      </w:r>
    </w:p>
    <w:p>
      <w:pPr>
        <w:ind w:firstLine="632"/>
      </w:pPr>
      <w:r>
        <w:rPr>
          <w:rFonts w:hint="eastAsia"/>
        </w:rPr>
        <w:t>（</w:t>
      </w:r>
      <w:r>
        <w:t>7</w:t>
      </w:r>
      <w:r>
        <w:rPr>
          <w:rFonts w:hint="eastAsia"/>
        </w:rPr>
        <w:t>）《畜禽规模养殖场粪污资源化利用设施建设规范（试行）》（农办牧〔2018〕）</w:t>
      </w:r>
    </w:p>
    <w:p>
      <w:pPr>
        <w:ind w:firstLine="632"/>
      </w:pPr>
      <w:r>
        <w:rPr>
          <w:rFonts w:hint="eastAsia"/>
        </w:rPr>
        <w:t>（</w:t>
      </w:r>
      <w:r>
        <w:t>8</w:t>
      </w:r>
      <w:r>
        <w:rPr>
          <w:rFonts w:hint="eastAsia"/>
        </w:rPr>
        <w:t>）《畜禽养殖业污染防治技术规范》（HJ/T 81—2001）</w:t>
      </w:r>
    </w:p>
    <w:p>
      <w:pPr>
        <w:ind w:firstLine="632"/>
      </w:pPr>
      <w:r>
        <w:rPr>
          <w:rFonts w:hint="eastAsia"/>
        </w:rPr>
        <w:t>（</w:t>
      </w:r>
      <w:r>
        <w:t>9</w:t>
      </w:r>
      <w:r>
        <w:rPr>
          <w:rFonts w:hint="eastAsia"/>
        </w:rPr>
        <w:t>）《畜禽养殖业污染物排放标准》（GB</w:t>
      </w:r>
      <w:r>
        <w:t xml:space="preserve"> </w:t>
      </w:r>
      <w:r>
        <w:rPr>
          <w:rFonts w:hint="eastAsia"/>
        </w:rPr>
        <w:t>18596—2001）</w:t>
      </w:r>
    </w:p>
    <w:p>
      <w:pPr>
        <w:ind w:firstLine="632"/>
      </w:pPr>
      <w:r>
        <w:rPr>
          <w:rFonts w:hint="eastAsia"/>
        </w:rPr>
        <w:t>（1</w:t>
      </w:r>
      <w:r>
        <w:t>0</w:t>
      </w:r>
      <w:r>
        <w:rPr>
          <w:rFonts w:hint="eastAsia"/>
        </w:rPr>
        <w:t>）《畜禽养殖业污染治理工程技术规范》（HJ</w:t>
      </w:r>
      <w:r>
        <w:t xml:space="preserve"> </w:t>
      </w:r>
      <w:r>
        <w:rPr>
          <w:rFonts w:hint="eastAsia"/>
        </w:rPr>
        <w:t>497—2009）</w:t>
      </w:r>
    </w:p>
    <w:p>
      <w:pPr>
        <w:ind w:firstLine="632"/>
      </w:pPr>
      <w:r>
        <w:rPr>
          <w:rFonts w:hint="eastAsia"/>
        </w:rPr>
        <w:t>（</w:t>
      </w:r>
      <w:r>
        <w:t>11</w:t>
      </w:r>
      <w:r>
        <w:rPr>
          <w:rFonts w:hint="eastAsia"/>
        </w:rPr>
        <w:t>）《规模畜禽养殖场污染防治最佳可行技术指南（试行）》（</w:t>
      </w:r>
      <w:r>
        <w:t>HJ-BAT-10</w:t>
      </w:r>
      <w:r>
        <w:rPr>
          <w:rFonts w:hint="eastAsia"/>
        </w:rPr>
        <w:t>）</w:t>
      </w:r>
    </w:p>
    <w:p>
      <w:pPr>
        <w:ind w:firstLine="632"/>
      </w:pPr>
      <w:r>
        <w:rPr>
          <w:rFonts w:hint="eastAsia"/>
        </w:rPr>
        <w:t>（1</w:t>
      </w:r>
      <w:r>
        <w:t>2</w:t>
      </w:r>
      <w:r>
        <w:rPr>
          <w:rFonts w:hint="eastAsia"/>
        </w:rPr>
        <w:t>）《国务院办公厅关于建立病死畜禽无害化处理机制的意见》（国办发〔2014〕47号）</w:t>
      </w:r>
    </w:p>
    <w:p>
      <w:pPr>
        <w:ind w:firstLine="632"/>
      </w:pPr>
      <w:r>
        <w:rPr>
          <w:rFonts w:hint="eastAsia"/>
        </w:rPr>
        <w:t>（1</w:t>
      </w:r>
      <w:r>
        <w:t>3</w:t>
      </w:r>
      <w:r>
        <w:rPr>
          <w:rFonts w:hint="eastAsia"/>
        </w:rPr>
        <w:t>）《畜禽粪污土地承载能力测算技术指南》（农办牧〔2018〕1号）</w:t>
      </w:r>
    </w:p>
    <w:p>
      <w:pPr>
        <w:ind w:firstLine="632"/>
      </w:pPr>
      <w:r>
        <w:rPr>
          <w:rFonts w:hint="eastAsia"/>
        </w:rPr>
        <w:t>（1</w:t>
      </w:r>
      <w:r>
        <w:t>4</w:t>
      </w:r>
      <w:r>
        <w:rPr>
          <w:rFonts w:hint="eastAsia"/>
        </w:rPr>
        <w:t>）《畜禽粪便无害化处理技术规范》（GB/T 36195）</w:t>
      </w:r>
    </w:p>
    <w:p>
      <w:pPr>
        <w:ind w:firstLine="632"/>
      </w:pPr>
      <w:r>
        <w:rPr>
          <w:rFonts w:hint="eastAsia"/>
        </w:rPr>
        <w:t>（1</w:t>
      </w:r>
      <w:r>
        <w:t>5</w:t>
      </w:r>
      <w:r>
        <w:rPr>
          <w:rFonts w:hint="eastAsia"/>
        </w:rPr>
        <w:t>）《畜禽粪便还田技术规范》（GB/T 25246）</w:t>
      </w:r>
    </w:p>
    <w:p>
      <w:pPr>
        <w:ind w:firstLine="632"/>
      </w:pPr>
      <w:r>
        <w:rPr>
          <w:rFonts w:hint="eastAsia"/>
        </w:rPr>
        <w:t>（1</w:t>
      </w:r>
      <w:r>
        <w:t>6</w:t>
      </w:r>
      <w:r>
        <w:rPr>
          <w:rFonts w:hint="eastAsia"/>
        </w:rPr>
        <w:t>）《农业农村部办公厅、生态环境部办公厅关于进一步明确畜禽粪污还田利用要求强化养殖污染监管的通知》（农办牧〔2020〕23号）</w:t>
      </w:r>
    </w:p>
    <w:p>
      <w:pPr>
        <w:ind w:firstLine="632"/>
      </w:pPr>
      <w:r>
        <w:rPr>
          <w:rFonts w:hint="eastAsia"/>
        </w:rPr>
        <w:t>（1</w:t>
      </w:r>
      <w:r>
        <w:t>7</w:t>
      </w:r>
      <w:r>
        <w:rPr>
          <w:rFonts w:hint="eastAsia"/>
        </w:rPr>
        <w:t>）《重庆市生态环境局 重庆市农业农村委员会 关于深化生态环境保护“放管服”改革规范畜禽养殖业环境管理的指导意见》（渝环〔</w:t>
      </w:r>
      <w:r>
        <w:t>2020</w:t>
      </w:r>
      <w:r>
        <w:rPr>
          <w:rFonts w:hint="eastAsia"/>
        </w:rPr>
        <w:t>〕</w:t>
      </w:r>
      <w:r>
        <w:t>62</w:t>
      </w:r>
      <w:r>
        <w:rPr>
          <w:rFonts w:hint="eastAsia"/>
        </w:rPr>
        <w:t>号）</w:t>
      </w:r>
    </w:p>
    <w:p>
      <w:pPr>
        <w:ind w:firstLine="632"/>
      </w:pPr>
      <w:r>
        <w:rPr>
          <w:rFonts w:hint="eastAsia"/>
        </w:rPr>
        <w:t>（1</w:t>
      </w:r>
      <w:r>
        <w:t>8</w:t>
      </w:r>
      <w:r>
        <w:rPr>
          <w:rFonts w:hint="eastAsia"/>
        </w:rPr>
        <w:t>）《重庆市农业委员会、重庆市生态环境局关于加强畜禽规模养殖污染防治工作的通知》（渝农发〔2017〕16号）</w:t>
      </w:r>
    </w:p>
    <w:p>
      <w:pPr>
        <w:ind w:firstLine="632"/>
      </w:pPr>
      <w:r>
        <w:rPr>
          <w:rFonts w:hint="eastAsia"/>
        </w:rPr>
        <w:t>（</w:t>
      </w:r>
      <w:r>
        <w:t>19</w:t>
      </w:r>
      <w:r>
        <w:rPr>
          <w:rFonts w:hint="eastAsia"/>
        </w:rPr>
        <w:t>）《重庆市环境保护局重庆市农业委员会关于调整畜禽养殖禁养区划定有关事宜的通知》（渝环〔2017〕102号）</w:t>
      </w:r>
    </w:p>
    <w:p>
      <w:pPr>
        <w:ind w:firstLine="632"/>
      </w:pPr>
      <w:r>
        <w:rPr>
          <w:rFonts w:hint="eastAsia"/>
        </w:rPr>
        <w:t>（2</w:t>
      </w:r>
      <w:r>
        <w:t>0</w:t>
      </w:r>
      <w:r>
        <w:rPr>
          <w:rFonts w:hint="eastAsia"/>
        </w:rPr>
        <w:t>）《重庆市农业农村委员会办公室关于加快畜禽种业高质量发展的通知》（渝农办发〔2021〕5号）</w:t>
      </w:r>
    </w:p>
    <w:p>
      <w:pPr>
        <w:ind w:firstLine="632"/>
      </w:pPr>
      <w:r>
        <w:rPr>
          <w:rFonts w:hint="eastAsia"/>
        </w:rPr>
        <w:t>（2</w:t>
      </w:r>
      <w:r>
        <w:t>1</w:t>
      </w:r>
      <w:r>
        <w:rPr>
          <w:rFonts w:hint="eastAsia"/>
        </w:rPr>
        <w:t>）《重庆市人民政府办公厅关于促进畜牧业高质量发展的实施意见》（渝府办发〔2020〕139号）</w:t>
      </w:r>
    </w:p>
    <w:p>
      <w:pPr>
        <w:ind w:firstLine="632"/>
      </w:pPr>
      <w:r>
        <w:rPr>
          <w:rFonts w:hint="eastAsia"/>
        </w:rPr>
        <w:t>（2</w:t>
      </w:r>
      <w:r>
        <w:t>2</w:t>
      </w:r>
      <w:r>
        <w:rPr>
          <w:rFonts w:hint="eastAsia"/>
        </w:rPr>
        <w:t>）《重庆市江津区畜禽养殖禁养区划定方案（调整）（江津府发〔2020〕146号）》的通知</w:t>
      </w:r>
    </w:p>
    <w:p>
      <w:pPr>
        <w:ind w:firstLine="632"/>
      </w:pPr>
      <w:r>
        <w:rPr>
          <w:rFonts w:hint="eastAsia"/>
        </w:rPr>
        <w:t>（2</w:t>
      </w:r>
      <w:r>
        <w:t>3</w:t>
      </w:r>
      <w:r>
        <w:rPr>
          <w:rFonts w:hint="eastAsia"/>
        </w:rPr>
        <w:t>）《印发重庆市江津区关于促进畜牧业高质量发展实施方案的通知》（江津府办发〔2021〕66号）</w:t>
      </w:r>
    </w:p>
    <w:p>
      <w:pPr>
        <w:ind w:firstLine="632"/>
      </w:pPr>
      <w:r>
        <w:rPr>
          <w:rFonts w:hint="eastAsia"/>
        </w:rPr>
        <w:t>（2</w:t>
      </w:r>
      <w:r>
        <w:t>4</w:t>
      </w:r>
      <w:r>
        <w:rPr>
          <w:rFonts w:hint="eastAsia"/>
        </w:rPr>
        <w:t>）《重庆市江津区人民政府办公室关于印发重庆市江津区畜禽养殖废弃物资源化利用工作方案的通知》（渝文备〔2018〕1162号）</w:t>
      </w:r>
    </w:p>
    <w:p>
      <w:pPr>
        <w:ind w:firstLine="632"/>
      </w:pPr>
      <w:r>
        <w:rPr>
          <w:rFonts w:hint="eastAsia"/>
        </w:rPr>
        <w:t>（2</w:t>
      </w:r>
      <w:r>
        <w:t>5</w:t>
      </w:r>
      <w:r>
        <w:rPr>
          <w:rFonts w:hint="eastAsia"/>
        </w:rPr>
        <w:t>）《江津区种养循环发展规划》（2019—2023年）</w:t>
      </w:r>
    </w:p>
    <w:p>
      <w:pPr>
        <w:ind w:firstLine="632"/>
        <w:outlineLvl w:val="1"/>
        <w:rPr>
          <w:rFonts w:eastAsia="方正楷体_GBK"/>
          <w:szCs w:val="32"/>
        </w:rPr>
      </w:pPr>
      <w:bookmarkStart w:id="25" w:name="_Toc79166991"/>
      <w:r>
        <w:rPr>
          <w:rFonts w:hint="eastAsia" w:eastAsia="方正楷体_GBK"/>
          <w:szCs w:val="32"/>
        </w:rPr>
        <w:t>（四）规划目标</w:t>
      </w:r>
      <w:bookmarkEnd w:id="25"/>
    </w:p>
    <w:p>
      <w:pPr>
        <w:ind w:firstLine="632"/>
      </w:pPr>
      <w:r>
        <w:rPr>
          <w:rFonts w:hint="eastAsia"/>
        </w:rPr>
        <w:t>按照江津区畜禽养殖区域划分，合理规划和发展畜禽养殖业，控制和削减畜禽养殖排污总量，建立科学规范、权责清晰、约束有力的畜禽养殖粪污资源化利用制度，基本解决畜禽规模养殖污染，培育形成畜禽养殖粪污资源化利用新兴产业。力争至2025年，所有规模化畜禽养殖场全部配套建设粪便污水贮存、处理、利用设施，规模养殖场粪污处理设施装备配套率达到100%，畜禽粪污综合利用率达到90%。化学需氧量、氨氮减排工作完成市级下达的目标任务。</w:t>
      </w:r>
    </w:p>
    <w:p>
      <w:pPr>
        <w:spacing w:after="115" w:afterLines="20" w:line="560" w:lineRule="exact"/>
        <w:ind w:firstLine="632"/>
        <w:outlineLvl w:val="0"/>
        <w:rPr>
          <w:rFonts w:eastAsia="方正黑体_GBK"/>
          <w:szCs w:val="32"/>
        </w:rPr>
      </w:pPr>
      <w:bookmarkStart w:id="26" w:name="_Toc79166992"/>
      <w:r>
        <w:rPr>
          <w:rFonts w:hint="eastAsia" w:eastAsia="方正黑体_GBK"/>
          <w:szCs w:val="32"/>
        </w:rPr>
        <w:t>四、主要任务</w:t>
      </w:r>
      <w:bookmarkEnd w:id="26"/>
    </w:p>
    <w:p>
      <w:pPr>
        <w:ind w:firstLine="632"/>
        <w:outlineLvl w:val="1"/>
        <w:rPr>
          <w:rFonts w:eastAsia="方正楷体_GBK"/>
          <w:szCs w:val="32"/>
        </w:rPr>
      </w:pPr>
      <w:bookmarkStart w:id="27" w:name="_Toc79166993"/>
      <w:r>
        <w:rPr>
          <w:rFonts w:hint="eastAsia" w:eastAsia="方正楷体_GBK"/>
          <w:szCs w:val="32"/>
        </w:rPr>
        <w:t>（一）强化源头管控，推行畜牧业融合发展</w:t>
      </w:r>
      <w:bookmarkEnd w:id="27"/>
    </w:p>
    <w:p>
      <w:pPr>
        <w:ind w:firstLine="632"/>
      </w:pPr>
      <w:r>
        <w:rPr>
          <w:rFonts w:hint="eastAsia"/>
        </w:rPr>
        <w:t>1</w:t>
      </w:r>
      <w:r>
        <w:t>.</w:t>
      </w:r>
      <w:r>
        <w:rPr>
          <w:rFonts w:hint="eastAsia"/>
        </w:rPr>
        <w:t>严格落实畜禽养殖项目审批制度</w:t>
      </w:r>
    </w:p>
    <w:p>
      <w:pPr>
        <w:ind w:firstLine="632"/>
      </w:pPr>
      <w:r>
        <w:rPr>
          <w:rFonts w:hint="eastAsia"/>
        </w:rPr>
        <w:t>严格落实环保部《建设项目环境影响评价分类管理目录》（2</w:t>
      </w:r>
      <w:r>
        <w:t>021</w:t>
      </w:r>
      <w:r>
        <w:rPr>
          <w:rFonts w:hint="eastAsia"/>
        </w:rPr>
        <w:t>年版，生态环境部令第1号）有关规定，对年出栏生猪5000头（其他畜禽种类折合成猪的养殖规模）及以上，或涉及环境敏感区的畜禽养殖场（小区）项目编制环境影响报告书，其余填报备案登记表。加大对未依法进行环境影响评价的规模化畜禽养殖场的处罚力度，督促全区5</w:t>
      </w:r>
      <w:r>
        <w:t>5</w:t>
      </w:r>
      <w:r>
        <w:rPr>
          <w:rFonts w:hint="eastAsia"/>
        </w:rPr>
        <w:t>家（名单详见附表3）未办理环评审批手续的养殖业主及时办理环境影响评价手续。环境影响评价文件应以农业绿色发展为导向，突出畜禽养殖废弃物综合利用。严格落实畜禽养殖污染防治设施“三同时”制度，加强建设项目工程监理，严格项目验收，确保综合利用和污染防治效果。</w:t>
      </w:r>
    </w:p>
    <w:p>
      <w:pPr>
        <w:ind w:firstLine="632"/>
      </w:pPr>
      <w:r>
        <w:t>2.</w:t>
      </w:r>
      <w:r>
        <w:rPr>
          <w:rFonts w:hint="eastAsia"/>
        </w:rPr>
        <w:t>加强畜禽养殖分区管理</w:t>
      </w:r>
    </w:p>
    <w:p>
      <w:pPr>
        <w:ind w:firstLine="632"/>
      </w:pPr>
      <w:r>
        <w:rPr>
          <w:rFonts w:hint="eastAsia"/>
        </w:rPr>
        <w:t>以优化畜禽养殖产业布局、控制农业面源污染、保障生态环境安全为目的，依据畜禽养殖“三区”划分方案，强化属地监管责任，强化禁养区内已关闭搬迁的畜禽养殖场（小区）和养殖专业户的巡查和监管，严防“反弹”和“复养”现象。限养区实行畜禽养殖存栏总量控制，畜禽养殖存栏总量超过畜禽养殖存栏控制总量的，不得新建、扩建畜禽养殖场（小区），既有畜禽养殖场（小区）严格落实污染防治责任，实现畜禽养殖废弃物全部资源化利用或达到农田灌溉水质标准，对无法达到污染防治要求的实行限期整治，确保各类污染物排放浓度和总量分别达到国家排放标准和控制标准，对无法完成限期治理的养殖场（小区），由区人民政府限期关停。适养区内新建、改建和扩建规模养殖场，必须符合畜禽养殖发展规划和环境保护规划，必须严格执行环境影响评价制度和“三同时”制度，坚持以地定畜、以种定养，在与区域环境容量、土地承载力相适应的条件下，推进“种养结合”资源化利用方式发展畜禽养殖业。</w:t>
      </w:r>
    </w:p>
    <w:p>
      <w:pPr>
        <w:ind w:firstLine="632"/>
      </w:pPr>
      <w:r>
        <w:t>3.</w:t>
      </w:r>
      <w:r>
        <w:rPr>
          <w:rFonts w:hint="eastAsia"/>
        </w:rPr>
        <w:t>推动畜禽养殖投入品结构调整</w:t>
      </w:r>
    </w:p>
    <w:p>
      <w:pPr>
        <w:ind w:firstLine="632"/>
      </w:pPr>
      <w:r>
        <w:rPr>
          <w:rFonts w:hint="eastAsia"/>
        </w:rPr>
        <w:t>实行市场准入制度，完善投入品可追溯体系建设，开展兽药、饲料市场准入和登记备案。探索畜禽养殖企业投入品管理信用评价体系。坚持绿色低碳发展理念，注重饲料管理，推广使用微生物制剂、酶制剂等饲料添加剂和低氮、磷、低矿物质饲料配方，提高饲料转化效率，减少粪便氮、重金属含量及恶臭气体的产生。在饲料中补充合成氨基酸，提高蛋白质及其他营养的吸收效率，减少氨气排放量和粪便的产生量。加强兽用抗菌药综合治理，实施动物源细菌耐药性监测、药物饲料添加剂退出和兽用抗菌药使用减量化行动。严格执行《饲料添加剂安全使用规范》《饲料卫生标准》等国家和地方有关规定。</w:t>
      </w:r>
    </w:p>
    <w:p>
      <w:pPr>
        <w:ind w:firstLine="632"/>
      </w:pPr>
      <w:r>
        <w:t>4.</w:t>
      </w:r>
      <w:r>
        <w:rPr>
          <w:rFonts w:hint="eastAsia"/>
        </w:rPr>
        <w:t>推广种养结合养殖模式</w:t>
      </w:r>
    </w:p>
    <w:p>
      <w:pPr>
        <w:ind w:firstLine="632"/>
      </w:pPr>
      <w:r>
        <w:rPr>
          <w:rFonts w:hint="eastAsia"/>
        </w:rPr>
        <w:t>严格落实《重庆市江津区种养循环发展规划》，按照“种养结合、生态养殖、以地定畜”的产业发展思路，优化畜禽养殖方式，建设一批种养循环示范基地，积极参与创建畜牧业绿色发展示范区建设。加强畜禽养殖规模与周围农作物种植面积配套，支持现代农业园区按照种植面积配套建设一定规模的畜禽养殖场，实施沼渣沼液还田，实现种养业废弃物的循环利用。建设区域畜禽粪便收集处理站，收集、贮存和堆肥处理10公里范围内中小规模养殖场或散养密集区内畜禽粪便。支持在田间地头配套建设管网和储粪（液）池以及使用沼液运输车辆等方式，解决粪肥还田“最后一公里”问题。鼓励有机肥深加工，将大量集中或分散的畜禽粪便加工成有机肥。建立规模养殖畜禽养殖业农牧结合粪污利用的自循环机制。完善农业农村、生态环境、发展改革、财政等多部门协调联动机制，形成工作合力，共同推进种养结合循环发展。</w:t>
      </w:r>
    </w:p>
    <w:p>
      <w:pPr>
        <w:ind w:firstLine="632"/>
      </w:pPr>
      <w:r>
        <w:t>5</w:t>
      </w:r>
      <w:r>
        <w:rPr>
          <w:rFonts w:hint="eastAsia"/>
        </w:rPr>
        <w:t>.优化畜禽养殖空间布局</w:t>
      </w:r>
    </w:p>
    <w:p>
      <w:pPr>
        <w:ind w:firstLine="632"/>
      </w:pPr>
      <w:r>
        <w:rPr>
          <w:rFonts w:hint="eastAsia"/>
        </w:rPr>
        <w:t>围绕全区空间发展重点和定位要求，进一步优化调整全区乡镇（街道）间以及流域内畜禽养殖空间布局。禁止在长江、塘河、笋溪河、龙吟河、复兴河、飞龙河、卧龙沟水库沿岸200米内陆域范围内新建畜禽养殖场。结合城市发展规划，严格控制生态旅游区域四面山镇和中山镇畜禽养殖数量。以德感街道、几江街道等畜禽养殖量超过土地承载能力、土地承载能力负荷率过高的镇街为重点，引导其区域规模化畜禽养殖场向环境容量大的区域特别是粮食主产区和果菜茶优势区域或者四屏镇、永兴镇等适养区畜禽粪污土地承载力剩余容量较大的区域进行适当转移。鼓励建设与江津现代农业园区土壤承载力相配套的畜禽养殖场。</w:t>
      </w:r>
    </w:p>
    <w:p>
      <w:pPr>
        <w:ind w:firstLine="632"/>
        <w:outlineLvl w:val="1"/>
        <w:rPr>
          <w:rFonts w:eastAsia="方正楷体_GBK"/>
          <w:szCs w:val="32"/>
        </w:rPr>
      </w:pPr>
      <w:bookmarkStart w:id="28" w:name="_Toc79166994"/>
      <w:r>
        <w:rPr>
          <w:rFonts w:hint="eastAsia" w:eastAsia="方正楷体_GBK"/>
          <w:szCs w:val="32"/>
        </w:rPr>
        <w:t>（二）坚持精准治污，抓好畜禽养殖产业污染治理</w:t>
      </w:r>
      <w:bookmarkEnd w:id="28"/>
    </w:p>
    <w:p>
      <w:pPr>
        <w:ind w:firstLine="632"/>
      </w:pPr>
      <w:r>
        <w:rPr>
          <w:rFonts w:hint="eastAsia"/>
        </w:rPr>
        <w:t>1</w:t>
      </w:r>
      <w:r>
        <w:t>.</w:t>
      </w:r>
      <w:r>
        <w:rPr>
          <w:rFonts w:hint="eastAsia"/>
        </w:rPr>
        <w:t>强化畜禽养殖场污染治理</w:t>
      </w:r>
    </w:p>
    <w:p>
      <w:pPr>
        <w:ind w:firstLine="632"/>
      </w:pPr>
      <w:r>
        <w:rPr>
          <w:rFonts w:hint="eastAsia"/>
        </w:rPr>
        <w:t>落实《畜禽规模养殖污染防治条例》《重庆市畜禽养殖污染防治方案》要求，新建、改建畜禽养殖场配备必要粪污收集、贮存、处理、利用设施。以长江、梅江河、笋溪河沿线的李市镇、白沙镇、吴滩镇、先锋镇为重点，持续推进干法清粪工艺改造，完善雨污分流、暗沟布设的污水收集输送系统，实现雨污、干湿分离。加快规模化畜禽养殖场节水节料、环境控制等设施装备升级，高标准建设粪污利用设施，推广畜禽养殖自动化装备、智能化监控，积极创建生产全程机械化示范养殖场。支持集约化畜禽养殖场以及养殖专业户配套建设粪污利用设施，提高畜禽粪便处理率。规范畜禽养殖散户养殖，必须按照要求配备沉淀池、三级化粪池等设施，严禁向自然水体或其他区域直接排放畜禽粪便、沼液、沼渣。督促江津区黄锫生猪养殖场、江津区若众生猪养殖场等畜禽养殖场建设、改造粪便处理设备，确保粪便得到有效处理。引入第三方运维机制，积极推动设施的专业化运营管理，针对养殖散户，重点推进第三方服务机构和养殖企业对养殖户的粪污处置进行指导和服务，探索开展畜禽养殖废弃物代为收集、运输、集中处置模式。</w:t>
      </w:r>
    </w:p>
    <w:p>
      <w:pPr>
        <w:ind w:firstLine="632"/>
      </w:pPr>
      <w:r>
        <w:t>2.</w:t>
      </w:r>
      <w:r>
        <w:rPr>
          <w:rFonts w:hint="eastAsia"/>
        </w:rPr>
        <w:t>加强畜禽养殖温室气体与氨气防控</w:t>
      </w:r>
    </w:p>
    <w:p>
      <w:pPr>
        <w:ind w:firstLine="632"/>
      </w:pPr>
      <w:r>
        <w:rPr>
          <w:rFonts w:hint="eastAsia"/>
        </w:rPr>
        <w:t>编制畜禽养殖温室气体排放清单，畜禽养殖温室气体减排措施与对策提供理论依据，开展低碳畜禽养殖试点示范，推动畜禽养殖业低碳发展。以适养反刍动物畜禽养殖场为重点，督促业主加强以秸秆为摄入原料的粉碎及颗粒化，提高纤维素类摄入物质分解率，适度提高多功能复合舔砖和过瘤蛋白使用，减少反刍动物甲烷排放。推动畜禽养殖粪便以固体处理方式进行，强化畜禽养殖场日常管理，增加畜禽舍清理次数，及时清理畜禽排泄物和料槽周围洒出的饲料，减少固体粪便堆放时间，减少动物粪便甲烷排放。督促养殖业主粪便在厌氧情况下保存、处理，减少氧化亚氮排放。科学配方畜禽养殖饲料，避免饲料中氮含量过高，鼓励养殖业主在粪便厌氧处理和动物粪便中添加脲素酶等抑制剂，利用秸秆覆盖粪池或储粪罐，减少粪便暴露面积，减少氨气排放。加强与重点高校、科研院所紧密合作，积极开展粪便管理对露天畜禽养殖场下垫面甲烷及氧化亚氮排放影响、不同农作物对粪肥中甲烷和氧化亚氮减排潜力评估、畜禽养殖活动甲烷、氧化亚氮排放强度估算等有益探索研究。</w:t>
      </w:r>
    </w:p>
    <w:p>
      <w:pPr>
        <w:ind w:firstLine="632"/>
      </w:pPr>
      <w:r>
        <w:t>3.</w:t>
      </w:r>
      <w:r>
        <w:rPr>
          <w:rFonts w:hint="eastAsia"/>
        </w:rPr>
        <w:t>强化屠宰场污染治理</w:t>
      </w:r>
    </w:p>
    <w:p>
      <w:pPr>
        <w:ind w:firstLine="632"/>
      </w:pPr>
      <w:r>
        <w:rPr>
          <w:rFonts w:hint="eastAsia"/>
        </w:rPr>
        <w:t>定期开展专项整治，全面排查屠宰行业污染治理设施建设不完善、治理设施不正常运行、环保手续不齐全、场主环保意识较差、管理水平低等问题，制定专项治理实施方案。鼓励企业采用生猪屠宰节水成套技术，减少废水产生，加强对废水处理设施运维管理，落实排污单位自行监测工作，定期开展废水排放监测，保障废水排放达标。加强屠宰场臭气污染防治，以群众举报投诉存在环境问题的屠宰场为重点整治对象，督促企业采用化学除臭剂、生物除臭技术、物理吸附等方式进行除臭。加强屠宰场废弃物处理处置，督促屠宰场业主加强待宰间和车间管理，增加通风次数，及时清理、清运粪便，鼓励业主利用待宰间和屠宰过程中产生的粪便、内容物、碎肉、碎骨等废弃物生产有机肥，减少废弃物排放。加强屠宰过程中检疫和同步检疫发现的病害畜禽，严格按照《病死畜禽动物无害化处理技术规范》，采用无害化处理技术进行处理。以重庆腾驰食品有限公司、重庆市江津区凯灵食品有限责任公司等全区7家屠宰场为重点，积极开展标准化生猪屠宰场创建工作。</w:t>
      </w:r>
    </w:p>
    <w:p>
      <w:pPr>
        <w:ind w:firstLine="632"/>
        <w:outlineLvl w:val="1"/>
        <w:rPr>
          <w:rFonts w:eastAsia="方正楷体_GBK"/>
          <w:szCs w:val="32"/>
        </w:rPr>
      </w:pPr>
      <w:bookmarkStart w:id="29" w:name="_Toc79166995"/>
      <w:r>
        <w:rPr>
          <w:rFonts w:hint="eastAsia" w:eastAsia="方正楷体_GBK"/>
          <w:szCs w:val="32"/>
        </w:rPr>
        <w:t>（三）提高技术水平，强化畜禽养殖废弃物处理处置</w:t>
      </w:r>
      <w:bookmarkEnd w:id="29"/>
    </w:p>
    <w:p>
      <w:pPr>
        <w:ind w:firstLine="632"/>
      </w:pPr>
      <w:r>
        <w:t>1.</w:t>
      </w:r>
      <w:r>
        <w:rPr>
          <w:rFonts w:hint="eastAsia"/>
        </w:rPr>
        <w:t>推进畜禽养殖废弃物循环化利用</w:t>
      </w:r>
    </w:p>
    <w:p>
      <w:pPr>
        <w:ind w:firstLine="632"/>
      </w:pPr>
      <w:r>
        <w:rPr>
          <w:rFonts w:hint="eastAsia"/>
        </w:rPr>
        <w:t>以规模化畜禽养殖场为重点，以沼气生产为主要处理方式，以农用有机肥和农村能源为主要利用方向，全面推进畜禽养殖废弃物资源化利用。积极培育畜禽养殖废弃物综合利用市场主体，推动建立江津区有机废弃物资源生态沃土中心，新建加工量5万吨/年的有机肥加工厂。引导大中型规模养殖场配套建设有机肥车间，先行将5个左右具备条件的乡镇纳入实施范围。按照“填平补齐”的原则完善养殖场粪污资源化利用设施设备，以周边消纳土地不足的畜禽养殖场为重点，加强畜禽废弃物处理及综合利用工程建设，或者委托第三方进行粪污处理，确保畜禽养殖废弃物资源化利用。持续推广有机肥替代化肥工作，培育畜禽养殖废弃物综合利用市场主体，建立有机肥生产和使用奖补政策机制，对涉农项目资金扶持种植花椒、果树、蔬菜、茶叶等大户发展时优先补助使用有机肥，推动业主</w:t>
      </w:r>
      <w:r>
        <w:rPr>
          <w:rFonts w:hint="eastAsia"/>
          <w:color w:val="000000"/>
        </w:rPr>
        <w:t>产地及周边建设畜禽养殖废弃物堆沤和沼渣沼液无害化处理、输送及施用等设施，配套特色农业生产的机械施肥、水肥一体化等设施，提升有机肥施用技术与配套设施水平。</w:t>
      </w:r>
    </w:p>
    <w:p>
      <w:pPr>
        <w:ind w:firstLine="632"/>
      </w:pPr>
      <w:r>
        <w:t>2.</w:t>
      </w:r>
      <w:r>
        <w:rPr>
          <w:rFonts w:hint="eastAsia"/>
        </w:rPr>
        <w:t>加强畜禽养殖（含有机肥厂）臭气防控</w:t>
      </w:r>
    </w:p>
    <w:p>
      <w:pPr>
        <w:ind w:firstLine="632"/>
      </w:pPr>
      <w:r>
        <w:rPr>
          <w:rFonts w:hint="eastAsia"/>
        </w:rPr>
        <w:t>合理优化圈舍布置，提高场内空气流动性，及时清理粪便及垫料。推进养殖业主在畜禽饮水、饲料中添加有益菌，促进畜禽消化、吸收能力，减少畜禽粪污产生量。正确选用优质饲料，探索推广低蛋白高能量饲料，降低排泄物中蛋白质的残留量，减少畜禽舍中恶臭气味的产生。鼓励养殖业主在圈舍、粪沟、粪污集中处理区以及养殖场周围喷洒、喷雾化学除臭剂、治污除臭剂或微生物除臭剂，减少臭气扰民。加强畜禽养殖场与还田利用的农田之间污水输送网络管理，严格控制污水输送沿途的弃、撒和跑、冒、滴、漏。畜禽粪收集后送至集粪池进行加蓬及水泥硬化处理防止雨水进入造成溢流和下渗。采用规律性地翻堆肥，并适当的通风，或在堆肥中掺入某些物质等措施，减轻或完全消除恶臭气体的刺激。</w:t>
      </w:r>
    </w:p>
    <w:p>
      <w:pPr>
        <w:ind w:firstLine="632"/>
      </w:pPr>
      <w:r>
        <w:rPr>
          <w:rFonts w:hint="eastAsia"/>
        </w:rPr>
        <w:t>3</w:t>
      </w:r>
      <w:r>
        <w:t>.</w:t>
      </w:r>
      <w:r>
        <w:rPr>
          <w:rFonts w:hint="eastAsia"/>
        </w:rPr>
        <w:t>提高畜禽养殖防疫水平</w:t>
      </w:r>
    </w:p>
    <w:p>
      <w:pPr>
        <w:ind w:firstLine="632"/>
      </w:pPr>
      <w:r>
        <w:rPr>
          <w:rFonts w:hint="eastAsia"/>
        </w:rPr>
        <w:t>加强养殖场、屠宰场等单位动物防疫硬件配套，全面推进区级兽医实验室硬件建设，加快刁家动物卫生监督检查站建设，进一步加强洗消中心建设，完善动物防疫基础设施，提升监管服务能力。推进动物疫病净化，支持引导区内规模场开展“动物疫病净化示范场”“动物疫病净化创建场”示范创建和有条件的镇街和规模养殖场创建非洲猪瘟无疫小区，提升规模养殖场乃至某一区域内的防控能力。实施镇街动物防疫特聘计划等措施，加强区镇两级动物防疫队伍建设。完善动物疫情信息报告制度，强化养殖、屠宰加工、无害化处理等环节信息管理。强化区防控动物重大疫病指挥部各成员单位联动协作和信息互通，严格落实属地、属事责任，认真做好应急处置工作。加强与周边毗邻区县的动物疫情防控工作，提升动物卫生监督检查站检查、预警和应急处置能力。严厉打击各类不履行动物防疫责任的违法违规行为。</w:t>
      </w:r>
    </w:p>
    <w:p>
      <w:pPr>
        <w:ind w:firstLine="632"/>
      </w:pPr>
      <w:r>
        <w:t>4.</w:t>
      </w:r>
      <w:r>
        <w:rPr>
          <w:rFonts w:hint="eastAsia"/>
        </w:rPr>
        <w:t>推进病死畜禽无害化处置</w:t>
      </w:r>
    </w:p>
    <w:p>
      <w:pPr>
        <w:ind w:firstLine="632"/>
      </w:pPr>
      <w:r>
        <w:rPr>
          <w:rFonts w:hint="eastAsia"/>
        </w:rPr>
        <w:t>以规模化畜禽养殖场和无害化处理企业为重点，完善畜禽死亡报告、定点收集、核实登记等制度。构建完善“政府主导、企业运作、保险联动、智能监管”的集中无害化处理运行机制，实现病死畜禽资源化利用。大力推进支坪病害死畜禽无害化处理中心、镇街病死畜禽收贮点建设，完善全区病死畜禽无害化处理体系。以政策性农业保险为杠杆，建立健全养殖保险与病死畜禽无害化处理的联动机制，建立与无害化处理率相挂钩的病死畜禽无害化处理财政补助机制，切实降低养殖户无害化处理的实际成本。推动落实病死畜禽无害化处理工作属地管理责任及生产经营者主体责任，切实规范全区病死畜禽无害化处理行为，防止发生病死畜禽进入市场流通环节或随意丢弃现象，确保动物产品质量安全和生态环境安全，力争到2025年病死畜禽集中无害化处理率和资源化利用率达到90%。</w:t>
      </w:r>
    </w:p>
    <w:p>
      <w:pPr>
        <w:ind w:firstLine="632"/>
        <w:outlineLvl w:val="1"/>
        <w:rPr>
          <w:rFonts w:eastAsia="方正楷体_GBK"/>
          <w:szCs w:val="32"/>
        </w:rPr>
      </w:pPr>
      <w:bookmarkStart w:id="30" w:name="_Toc79166996"/>
      <w:r>
        <w:rPr>
          <w:rFonts w:hint="eastAsia" w:eastAsia="方正楷体_GBK"/>
          <w:szCs w:val="32"/>
        </w:rPr>
        <w:t>（四）加强环境监管能力建设，提升科学和智慧治污水平</w:t>
      </w:r>
      <w:bookmarkEnd w:id="30"/>
    </w:p>
    <w:p>
      <w:pPr>
        <w:ind w:firstLine="632"/>
      </w:pPr>
      <w:r>
        <w:rPr>
          <w:rFonts w:hint="eastAsia"/>
        </w:rPr>
        <w:t>1</w:t>
      </w:r>
      <w:r>
        <w:t>.</w:t>
      </w:r>
      <w:r>
        <w:rPr>
          <w:rFonts w:hint="eastAsia"/>
        </w:rPr>
        <w:t>完善畜禽养殖监管机制</w:t>
      </w:r>
    </w:p>
    <w:p>
      <w:pPr>
        <w:ind w:firstLine="632"/>
      </w:pPr>
      <w:r>
        <w:rPr>
          <w:rFonts w:hint="eastAsia"/>
        </w:rPr>
        <w:t>加强生态环境、农业农村、畜牧兽医等部门联动，常态化开展联合巡查、执法行动，依法严厉打击通过暗管、渗井、渗坑或者不正常运行防治污染设施等逃避监管的方式违法排放污染物的行为。充分发挥乡镇、村级基层政府的监督力量，着力推进区、乡镇（街道）、村（社区）、组四级畜禽养殖网格化管理，通过采取随机抽查、例行检查等方式，监督污染物治理设施运行。落实镇街属地责任，</w:t>
      </w:r>
      <w:r>
        <w:rPr>
          <w:rFonts w:hint="eastAsia"/>
          <w:color w:val="000000"/>
        </w:rPr>
        <w:t>加强对辖区畜禽养殖场、畜禽屠宰场（点）的巡查监管、整治、成效巩固等，确保不留死角和盲点。</w:t>
      </w:r>
      <w:r>
        <w:rPr>
          <w:rFonts w:hint="eastAsia"/>
          <w:color w:val="000000"/>
          <w:shd w:val="clear" w:color="auto" w:fill="FFFFFF"/>
        </w:rPr>
        <w:t>实施畜禽规模养殖场分类管理，</w:t>
      </w:r>
      <w:r>
        <w:rPr>
          <w:rFonts w:hint="eastAsia"/>
        </w:rPr>
        <w:t>以重庆市卓财畜禽养殖有限公司等全区</w:t>
      </w:r>
      <w:r>
        <w:t>49</w:t>
      </w:r>
      <w:r>
        <w:rPr>
          <w:rFonts w:hint="eastAsia"/>
        </w:rPr>
        <w:t>家规模养殖场作为重点源监管范畴，采取“一场一档”清单化管理方式，特别针对</w:t>
      </w:r>
      <w:r>
        <w:rPr>
          <w:rFonts w:hint="eastAsia"/>
          <w:color w:val="000000"/>
          <w:shd w:val="clear" w:color="auto" w:fill="FFFFFF"/>
        </w:rPr>
        <w:t>设有固定排污口的规模化畜禽养殖场，</w:t>
      </w:r>
      <w:r>
        <w:rPr>
          <w:rFonts w:hint="eastAsia"/>
        </w:rPr>
        <w:t>严密监督其污染物排放状况、排放去向、污染治理设施运行情况、废弃物综合利用情况等</w:t>
      </w:r>
      <w:r>
        <w:rPr>
          <w:rFonts w:hint="eastAsia"/>
          <w:color w:val="000000"/>
          <w:shd w:val="clear" w:color="auto" w:fill="FFFFFF"/>
        </w:rPr>
        <w:t>。</w:t>
      </w:r>
    </w:p>
    <w:p>
      <w:pPr>
        <w:ind w:firstLine="632"/>
      </w:pPr>
      <w:r>
        <w:rPr>
          <w:rFonts w:hint="eastAsia"/>
        </w:rPr>
        <w:t>2</w:t>
      </w:r>
      <w:r>
        <w:t>.</w:t>
      </w:r>
      <w:r>
        <w:rPr>
          <w:rFonts w:hint="eastAsia"/>
        </w:rPr>
        <w:t>完善信息报送机制</w:t>
      </w:r>
    </w:p>
    <w:p>
      <w:pPr>
        <w:ind w:firstLine="632"/>
      </w:pPr>
      <w:r>
        <w:rPr>
          <w:rFonts w:hint="eastAsia"/>
        </w:rPr>
        <w:t>督促畜禽养殖场、养殖小区落实污染防治主体责任，定期将畜禽养殖品种、规模及畜禽养殖废弃物产生、排放、综合利用等情况，报区生态环境部门备案。各乡镇落实畜禽养殖属地管理责任，以江津区印忠家畜养殖场、畅驰农业等</w:t>
      </w:r>
      <w:r>
        <w:t>49</w:t>
      </w:r>
      <w:r>
        <w:rPr>
          <w:rFonts w:hint="eastAsia"/>
        </w:rPr>
        <w:t>家规模养殖场、无害化处理企业为重点，实行畜禽养殖污染治理设施工程累计工程进度、整治污水偷排偷放行为专项行动执法情况与报送制度。依托全国养殖场直联直报系统、重庆畜牧兽医云平台、5G、无人机等硬软件，对主导产业进行动态监测，发现有病死畜禽，要及时向当地兽医部门报告。健全病死畜禽无害化处理档案制度和报送制度。健全畜禽死亡报告、定点收集、核实登记等制度，督促、指导病死畜禽无害化回收处理监管长效机制建设，定期监督检查和通报无害化处理工作进展情况。整合畜牧兽医工作信息资源，配合市农业农村委完善重庆畜牧兽医云平台，推进畜牧养殖档案和监管工作电子化，全面推进养殖场业主生产情况直联直报，对规模养殖场实行全覆盖备案，并进行分类管理。</w:t>
      </w:r>
    </w:p>
    <w:p>
      <w:pPr>
        <w:ind w:firstLine="632"/>
      </w:pPr>
      <w:r>
        <w:t>3.</w:t>
      </w:r>
      <w:r>
        <w:rPr>
          <w:rFonts w:hint="eastAsia"/>
        </w:rPr>
        <w:t>提升畜禽养殖污染防控“智慧”水平</w:t>
      </w:r>
    </w:p>
    <w:p>
      <w:pPr>
        <w:ind w:firstLine="632"/>
      </w:pPr>
      <w:r>
        <w:rPr>
          <w:rFonts w:hint="eastAsia"/>
        </w:rPr>
        <w:t>借助互联网、物联网、大数据技术，推动畜牧业高质量发展，力争建设一批智慧畜禽养殖示范场。推进畜牧业设施化和智慧化，逐步推广自动喂料、排泄物机械化清运与综合利用、养殖环境智能控制等先进设施。探索养殖企业生产管理数据与行政管理平台的数字化对接，动态掌握全区规模畜禽养殖场、病死畜禽无害化处置厂、畜禽定点屠宰企业变化，以及辖区养殖规模、废弃物综合利用、污染防治设施建设等情况。加强粪污处理监管，推进万头以上养猪场及重要配套设施安装在线监测系统，并接入当地行政监督综合管理平台。建立无害化处理监管信息系统，配备无害化处理设施运行视频监控设备，推动实施病死畜禽无害化处理信息化监管。</w:t>
      </w:r>
    </w:p>
    <w:p>
      <w:pPr>
        <w:ind w:firstLine="632"/>
      </w:pPr>
      <w:r>
        <w:t>4.</w:t>
      </w:r>
      <w:r>
        <w:rPr>
          <w:rFonts w:hint="eastAsia"/>
        </w:rPr>
        <w:t>加快新防治技术研发与推广</w:t>
      </w:r>
    </w:p>
    <w:p>
      <w:pPr>
        <w:ind w:firstLine="632"/>
      </w:pPr>
      <w:r>
        <w:rPr>
          <w:rFonts w:hint="eastAsia"/>
        </w:rPr>
        <w:t>依托市级项目以及市畜科院、西南大学等院校机构的技术支撑，以建设种养良性循环发展基地等项目为抓手，加快推动畜禽养殖业集成绿色高效技术的研发，引导、鼓励有条件的养殖企业在畜禽遗传资源上投入，探索有利于畜禽种质资源收集、保存、共享机制。鼓励大型养殖企业、兽药经营企业、饲料生产企业、高等院校、科研单位等组建畜牧兽医社会化服务团队，为中小养殖场户提供良种繁育、饲料营养、疫病防控、机械生产、产品储运、病死畜禽无害化处理和废弃物资源化利用等“一条龙”“菜单式”实用科技服务。积极开展畜禽养殖污染防治技术筛选和评估，针对畜禽养殖污染问题突出的区域，加强水质监测和污染物溯源分析，制定实用技术目录，提出控制污染物排放、改善水质的具体措施，建设畜禽养殖污染防治实用技术示范工程。建立技术推广与服务体系，大力推广应用绿色养殖技术、绿色饲料，鼓励采用环境控制和综合减臭技术。结合江津实际，推行“以地定养、种养一体”循环养殖模式，积极推广全量机械化施用，逐步改进粪肥施用方式。</w:t>
      </w:r>
    </w:p>
    <w:p>
      <w:pPr>
        <w:spacing w:after="115" w:afterLines="20" w:line="560" w:lineRule="exact"/>
        <w:ind w:firstLine="632"/>
        <w:outlineLvl w:val="0"/>
        <w:rPr>
          <w:rFonts w:eastAsia="方正黑体_GBK"/>
          <w:szCs w:val="32"/>
        </w:rPr>
      </w:pPr>
      <w:bookmarkStart w:id="31" w:name="_Toc79166997"/>
      <w:r>
        <w:rPr>
          <w:rFonts w:hint="eastAsia" w:eastAsia="方正黑体_GBK"/>
          <w:szCs w:val="32"/>
        </w:rPr>
        <w:t>五、谋划一批重点工程</w:t>
      </w:r>
      <w:bookmarkEnd w:id="31"/>
    </w:p>
    <w:p>
      <w:pPr>
        <w:ind w:firstLine="632"/>
        <w:outlineLvl w:val="1"/>
        <w:rPr>
          <w:rFonts w:eastAsia="方正楷体_GBK"/>
          <w:szCs w:val="32"/>
        </w:rPr>
      </w:pPr>
      <w:bookmarkStart w:id="32" w:name="_Toc79166998"/>
      <w:r>
        <w:rPr>
          <w:rFonts w:hint="eastAsia" w:eastAsia="方正楷体_GBK"/>
          <w:szCs w:val="32"/>
        </w:rPr>
        <w:t>（一）重点项目及投资估算</w:t>
      </w:r>
      <w:bookmarkEnd w:id="32"/>
    </w:p>
    <w:p>
      <w:pPr>
        <w:ind w:firstLine="632"/>
      </w:pPr>
      <w:r>
        <w:rPr>
          <w:rFonts w:hint="eastAsia"/>
        </w:rPr>
        <w:t>1.重点项目</w:t>
      </w:r>
    </w:p>
    <w:p>
      <w:pPr>
        <w:ind w:firstLine="632"/>
      </w:pPr>
      <w:r>
        <w:rPr>
          <w:rFonts w:hint="eastAsia"/>
        </w:rPr>
        <w:t>（1）养殖场污染治理工程</w:t>
      </w:r>
    </w:p>
    <w:p>
      <w:pPr>
        <w:ind w:firstLine="632"/>
      </w:pPr>
      <w:r>
        <w:rPr>
          <w:rFonts w:hint="eastAsia"/>
        </w:rPr>
        <w:t>全区所有畜禽养殖场均需配备雨污分流、固液分离设施，至2025年，完成全区</w:t>
      </w:r>
      <w:r>
        <w:t>160</w:t>
      </w:r>
      <w:r>
        <w:rPr>
          <w:rFonts w:hint="eastAsia"/>
        </w:rPr>
        <w:t>家养殖场雨污分流设备、</w:t>
      </w:r>
      <w:r>
        <w:t>437</w:t>
      </w:r>
      <w:r>
        <w:rPr>
          <w:rFonts w:hint="eastAsia"/>
        </w:rPr>
        <w:t>家养殖场固液分离设备配套。常年存栏猪当量在20头及以上或沼液储存池容量超限的养殖场，需新建或改建沼气利用、沼液储备、简易堆肥等设施，至2025年，完成全区2</w:t>
      </w:r>
      <w:r>
        <w:t>50</w:t>
      </w:r>
      <w:r>
        <w:rPr>
          <w:rFonts w:hint="eastAsia"/>
        </w:rPr>
        <w:t>家养殖场沼气利用和2</w:t>
      </w:r>
      <w:r>
        <w:t>78</w:t>
      </w:r>
      <w:r>
        <w:rPr>
          <w:rFonts w:hint="eastAsia"/>
        </w:rPr>
        <w:t>家养殖场沼液储存设施的配备。常年存栏猪当量300头及以上的养殖场，需建设沼液生态还田管网，实现粪便和污水就近资源化利用。针对农村散养户，引导其根据环保政策升级改造自己的养殖场，学习污染治理知识，建设户用沼气等环保处理设施，同时，还要学习新的饲喂技术以及新的粪尿和有害气体的处理技术，建立生态养殖的新模式。</w:t>
      </w:r>
    </w:p>
    <w:p>
      <w:pPr>
        <w:ind w:firstLine="632"/>
      </w:pPr>
      <w:r>
        <w:rPr>
          <w:rFonts w:hint="eastAsia"/>
        </w:rPr>
        <w:t>（2）养殖废弃物综合利用</w:t>
      </w:r>
    </w:p>
    <w:p>
      <w:pPr>
        <w:ind w:firstLine="632"/>
      </w:pPr>
      <w:r>
        <w:rPr>
          <w:rFonts w:hint="eastAsia"/>
        </w:rPr>
        <w:t>推动建立有机废弃物资源生态沃土中心，新建1个年加工量5万吨的有机肥加工厂，引导大中型规模养殖场配套建设有机肥车间。鼓励全区所有畜禽养殖场固废制有机肥，推动4</w:t>
      </w:r>
      <w:r>
        <w:t>38</w:t>
      </w:r>
      <w:r>
        <w:rPr>
          <w:rFonts w:hint="eastAsia"/>
        </w:rPr>
        <w:t>家畜禽养殖企业实施固废制有机肥工程。</w:t>
      </w:r>
    </w:p>
    <w:p>
      <w:pPr>
        <w:ind w:firstLine="632"/>
      </w:pPr>
      <w:r>
        <w:rPr>
          <w:rFonts w:hint="eastAsia"/>
        </w:rPr>
        <w:t>（3）病死畜禽无害化处理</w:t>
      </w:r>
    </w:p>
    <w:p>
      <w:pPr>
        <w:ind w:firstLine="632"/>
      </w:pPr>
      <w:r>
        <w:rPr>
          <w:rFonts w:hint="eastAsia"/>
        </w:rPr>
        <w:t>进一步加强洗消中心建设。大力推进支坪病害死畜禽无害化处理中心、镇街病死畜禽收贮点建设。启动全区病害死畜禽无害化收储点运行。安排专人负责收集，并配备专用运输车、运输袋、冷库、冰柜等设施设备。力争到2025年病死畜禽集中无害化处理率和资源化利用率达到90%。</w:t>
      </w:r>
    </w:p>
    <w:p>
      <w:pPr>
        <w:ind w:firstLine="632"/>
      </w:pPr>
      <w:r>
        <w:rPr>
          <w:rFonts w:hint="eastAsia"/>
        </w:rPr>
        <w:t>（4）畜禽养殖场恶臭气体防控</w:t>
      </w:r>
    </w:p>
    <w:p>
      <w:pPr>
        <w:ind w:firstLine="632"/>
      </w:pPr>
      <w:r>
        <w:rPr>
          <w:rFonts w:hint="eastAsia"/>
        </w:rPr>
        <w:t>畜禽养殖场要加强恶臭气体净化处理并覆盖所有恶臭发生源，排放的气体应符合国家或地方恶臭污染物排放标准。存栏大于2000头以上生猪当量的大型规模化畜禽养殖场产生的恶臭气体，宜采用生物吸附和生物过滤等除臭技术进行集中处理。存栏1000-2000头以上生猪当量的大型规模化畜禽养殖场应针对畜禽养殖废弃物处理与利用过程的关键环节，采取场所密闭、喷洒除臭剂等措施，减少恶臭气体扩散，降低恶臭气体对场区空气质量和周边居民生活的影响。存栏200-1000头生猪当量的中小型规模化畜禽养殖场（小区）宜通过科学选址、合理布局、加强圈舍通风、建设绿化隔离带、及时清理畜禽养殖废弃物等手段，减少恶臭气体的污染。</w:t>
      </w:r>
    </w:p>
    <w:p>
      <w:pPr>
        <w:ind w:firstLine="632"/>
      </w:pPr>
      <w:r>
        <w:rPr>
          <w:rFonts w:hint="eastAsia"/>
        </w:rPr>
        <w:t>（5）环境监测监管和能力建设项目</w:t>
      </w:r>
    </w:p>
    <w:p>
      <w:pPr>
        <w:ind w:firstLine="632"/>
      </w:pPr>
      <w:r>
        <w:rPr>
          <w:rFonts w:hint="eastAsia"/>
        </w:rPr>
        <w:t>对照国家各项建设标准，强化基本和专项监测仪器设备配置，实施环境监测、动物防疫、固体废物管理等机构标准化建设，全面达到国家标准，装备水平满足日常监管工作需要。全面推进环境管理信息化建设，配合市农业农村委完善重庆畜牧兽医云平台，推进畜牧养殖档案和监管工作电子化，全面推进养殖场业主生产情况直联直报，对规模养殖场实行全覆盖备案，并进行分类管理。建立无害化处理监管信息系统，配备无害化处理设施运行视频监控设备。</w:t>
      </w:r>
    </w:p>
    <w:p>
      <w:pPr>
        <w:ind w:firstLine="632"/>
      </w:pPr>
      <w:r>
        <w:rPr>
          <w:rFonts w:hint="eastAsia"/>
        </w:rPr>
        <w:t>2.投资计划及资金筹措</w:t>
      </w:r>
    </w:p>
    <w:p>
      <w:pPr>
        <w:ind w:firstLine="632"/>
      </w:pPr>
      <w:r>
        <w:rPr>
          <w:rFonts w:hint="eastAsia"/>
        </w:rPr>
        <w:t>（1）投资估算</w:t>
      </w:r>
    </w:p>
    <w:p>
      <w:pPr>
        <w:ind w:firstLine="632"/>
      </w:pPr>
      <w:r>
        <w:rPr>
          <w:rFonts w:hint="eastAsia"/>
        </w:rPr>
        <w:t>项目投资估算根据其性质不同，2021-2025年江津区畜禽养殖污染防治建设项目投资共计</w:t>
      </w:r>
      <w:r>
        <w:t>6800</w:t>
      </w:r>
      <w:r>
        <w:rPr>
          <w:rFonts w:hint="eastAsia"/>
        </w:rPr>
        <w:t>万元，其中养殖污染治理工程</w:t>
      </w:r>
      <w:r>
        <w:t>1000</w:t>
      </w:r>
      <w:r>
        <w:rPr>
          <w:rFonts w:hint="eastAsia"/>
        </w:rPr>
        <w:t>万元；养殖场废弃物资源化利用工程</w:t>
      </w:r>
      <w:r>
        <w:t>2500</w:t>
      </w:r>
      <w:r>
        <w:rPr>
          <w:rFonts w:hint="eastAsia"/>
        </w:rPr>
        <w:t>万元；病死畜禽无害化处理工程</w:t>
      </w:r>
      <w:r>
        <w:t>2000</w:t>
      </w:r>
      <w:r>
        <w:rPr>
          <w:rFonts w:hint="eastAsia"/>
        </w:rPr>
        <w:t>万元；畜禽养殖场恶臭气体防控工程</w:t>
      </w:r>
      <w:r>
        <w:t>800</w:t>
      </w:r>
      <w:r>
        <w:rPr>
          <w:rFonts w:hint="eastAsia"/>
        </w:rPr>
        <w:t>万元；环境监管监测和能力建设工程</w:t>
      </w:r>
      <w:r>
        <w:t>500</w:t>
      </w:r>
      <w:r>
        <w:rPr>
          <w:rFonts w:hint="eastAsia"/>
        </w:rPr>
        <w:t>万元。</w:t>
      </w:r>
    </w:p>
    <w:p>
      <w:pPr>
        <w:ind w:left="53" w:leftChars="17" w:firstLine="0" w:firstLineChars="0"/>
      </w:pPr>
      <w:r>
        <w:rPr>
          <w:rFonts w:hint="eastAsia" w:eastAsia="方正黑体_GBK"/>
          <w:sz w:val="28"/>
          <w:szCs w:val="28"/>
        </w:rPr>
        <w:t>表</w:t>
      </w:r>
      <w:r>
        <w:rPr>
          <w:rFonts w:eastAsia="方正黑体_GBK"/>
          <w:sz w:val="28"/>
          <w:szCs w:val="28"/>
        </w:rPr>
        <w:t>5</w:t>
      </w:r>
      <w:r>
        <w:rPr>
          <w:rFonts w:hint="eastAsia" w:eastAsia="方正黑体_GBK"/>
          <w:sz w:val="28"/>
          <w:szCs w:val="28"/>
        </w:rPr>
        <w:t>-</w:t>
      </w:r>
      <w:r>
        <w:rPr>
          <w:rFonts w:eastAsia="方正黑体_GBK"/>
          <w:sz w:val="28"/>
          <w:szCs w:val="28"/>
        </w:rPr>
        <w:t>1</w:t>
      </w:r>
      <w:r>
        <w:rPr>
          <w:rFonts w:hint="eastAsia" w:eastAsia="方正黑体_GBK"/>
          <w:sz w:val="28"/>
          <w:szCs w:val="28"/>
        </w:rPr>
        <w:t xml:space="preserve"> 江津区2021-2025年畜禽养殖污染防治建设项目投资估算</w:t>
      </w:r>
      <w:r>
        <w:rPr>
          <w:rFonts w:hint="eastAsia"/>
        </w:rPr>
        <w:t xml:space="preserve"> </w:t>
      </w:r>
      <w:r>
        <w:t xml:space="preserve"> </w:t>
      </w:r>
      <w:r>
        <w:rPr>
          <w:rFonts w:hint="eastAsia" w:ascii="方正黑体_GBK" w:eastAsia="方正黑体_GBK"/>
          <w:sz w:val="24"/>
          <w:szCs w:val="24"/>
        </w:rPr>
        <w:t>单位:万元</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1319"/>
        <w:gridCol w:w="1319"/>
        <w:gridCol w:w="1319"/>
        <w:gridCol w:w="1319"/>
        <w:gridCol w:w="1261"/>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项目</w:t>
            </w:r>
          </w:p>
        </w:tc>
        <w:tc>
          <w:tcPr>
            <w:tcW w:w="728"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养殖污染治理</w:t>
            </w:r>
          </w:p>
        </w:tc>
        <w:tc>
          <w:tcPr>
            <w:tcW w:w="728"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养殖场废弃物资源化利用</w:t>
            </w:r>
          </w:p>
        </w:tc>
        <w:tc>
          <w:tcPr>
            <w:tcW w:w="728"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病死畜禽无害化处理</w:t>
            </w:r>
          </w:p>
        </w:tc>
        <w:tc>
          <w:tcPr>
            <w:tcW w:w="728"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畜禽养殖场恶臭气体防控</w:t>
            </w:r>
          </w:p>
        </w:tc>
        <w:tc>
          <w:tcPr>
            <w:tcW w:w="696"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环境监管监测和能力建设</w:t>
            </w:r>
          </w:p>
        </w:tc>
        <w:tc>
          <w:tcPr>
            <w:tcW w:w="696" w:type="pct"/>
            <w:vAlign w:val="center"/>
          </w:tcPr>
          <w:p>
            <w:pPr>
              <w:widowControl/>
              <w:spacing w:line="300" w:lineRule="exact"/>
              <w:ind w:firstLine="0" w:firstLineChars="0"/>
              <w:jc w:val="center"/>
              <w:rPr>
                <w:rFonts w:eastAsia="方正黑体_GBK" w:cs="Arial"/>
                <w:kern w:val="0"/>
                <w:sz w:val="24"/>
                <w:szCs w:val="24"/>
              </w:rPr>
            </w:pPr>
            <w:r>
              <w:rPr>
                <w:rFonts w:hint="eastAsia" w:eastAsia="方正黑体_GBK" w:cs="Arial"/>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vAlign w:val="center"/>
          </w:tcPr>
          <w:p>
            <w:pPr>
              <w:ind w:firstLine="0" w:firstLineChars="0"/>
              <w:jc w:val="center"/>
              <w:rPr>
                <w:rFonts w:ascii="方正仿宋_GBK" w:cs="Times New Roman"/>
                <w:sz w:val="24"/>
                <w:szCs w:val="24"/>
              </w:rPr>
            </w:pPr>
            <w:r>
              <w:rPr>
                <w:rFonts w:hint="eastAsia" w:ascii="方正仿宋_GBK" w:cs="Times New Roman"/>
                <w:sz w:val="24"/>
                <w:szCs w:val="24"/>
              </w:rPr>
              <w:t>投资估算</w:t>
            </w:r>
          </w:p>
        </w:tc>
        <w:tc>
          <w:tcPr>
            <w:tcW w:w="728" w:type="pct"/>
            <w:vAlign w:val="center"/>
          </w:tcPr>
          <w:p>
            <w:pPr>
              <w:ind w:firstLine="0" w:firstLineChars="0"/>
              <w:jc w:val="center"/>
              <w:rPr>
                <w:rFonts w:cs="Times New Roman"/>
                <w:szCs w:val="32"/>
              </w:rPr>
            </w:pPr>
            <w:r>
              <w:rPr>
                <w:rFonts w:hint="eastAsia" w:cs="Times New Roman"/>
                <w:szCs w:val="32"/>
              </w:rPr>
              <w:t>1</w:t>
            </w:r>
            <w:r>
              <w:rPr>
                <w:rFonts w:cs="Times New Roman"/>
                <w:szCs w:val="32"/>
              </w:rPr>
              <w:t>000</w:t>
            </w:r>
          </w:p>
        </w:tc>
        <w:tc>
          <w:tcPr>
            <w:tcW w:w="728" w:type="pct"/>
            <w:vAlign w:val="center"/>
          </w:tcPr>
          <w:p>
            <w:pPr>
              <w:ind w:firstLine="0" w:firstLineChars="0"/>
              <w:jc w:val="center"/>
              <w:rPr>
                <w:rFonts w:cs="Times New Roman"/>
                <w:szCs w:val="32"/>
              </w:rPr>
            </w:pPr>
            <w:r>
              <w:rPr>
                <w:rFonts w:hint="eastAsia" w:cs="Times New Roman"/>
                <w:szCs w:val="32"/>
              </w:rPr>
              <w:t>2</w:t>
            </w:r>
            <w:r>
              <w:rPr>
                <w:rFonts w:cs="Times New Roman"/>
                <w:szCs w:val="32"/>
              </w:rPr>
              <w:t>500</w:t>
            </w:r>
          </w:p>
        </w:tc>
        <w:tc>
          <w:tcPr>
            <w:tcW w:w="728" w:type="pct"/>
            <w:vAlign w:val="center"/>
          </w:tcPr>
          <w:p>
            <w:pPr>
              <w:ind w:firstLine="0" w:firstLineChars="0"/>
              <w:jc w:val="center"/>
              <w:rPr>
                <w:rFonts w:cs="Times New Roman"/>
                <w:szCs w:val="32"/>
              </w:rPr>
            </w:pPr>
            <w:r>
              <w:rPr>
                <w:rFonts w:hint="eastAsia" w:cs="Times New Roman"/>
                <w:szCs w:val="32"/>
              </w:rPr>
              <w:t>2</w:t>
            </w:r>
            <w:r>
              <w:rPr>
                <w:rFonts w:cs="Times New Roman"/>
                <w:szCs w:val="32"/>
              </w:rPr>
              <w:t>000</w:t>
            </w:r>
          </w:p>
        </w:tc>
        <w:tc>
          <w:tcPr>
            <w:tcW w:w="728" w:type="pct"/>
            <w:vAlign w:val="center"/>
          </w:tcPr>
          <w:p>
            <w:pPr>
              <w:ind w:firstLine="0" w:firstLineChars="0"/>
              <w:jc w:val="center"/>
              <w:rPr>
                <w:rFonts w:cs="Times New Roman"/>
                <w:szCs w:val="32"/>
              </w:rPr>
            </w:pPr>
            <w:r>
              <w:rPr>
                <w:rFonts w:hint="eastAsia" w:cs="Times New Roman"/>
                <w:szCs w:val="32"/>
              </w:rPr>
              <w:t>8</w:t>
            </w:r>
            <w:r>
              <w:rPr>
                <w:rFonts w:cs="Times New Roman"/>
                <w:szCs w:val="32"/>
              </w:rPr>
              <w:t>00</w:t>
            </w:r>
          </w:p>
        </w:tc>
        <w:tc>
          <w:tcPr>
            <w:tcW w:w="696" w:type="pct"/>
            <w:vAlign w:val="center"/>
          </w:tcPr>
          <w:p>
            <w:pPr>
              <w:ind w:firstLine="0" w:firstLineChars="0"/>
              <w:jc w:val="center"/>
              <w:rPr>
                <w:rFonts w:cs="Times New Roman"/>
                <w:szCs w:val="32"/>
              </w:rPr>
            </w:pPr>
            <w:r>
              <w:rPr>
                <w:rFonts w:hint="eastAsia" w:cs="Times New Roman"/>
                <w:szCs w:val="32"/>
              </w:rPr>
              <w:t>5</w:t>
            </w:r>
            <w:r>
              <w:rPr>
                <w:rFonts w:cs="Times New Roman"/>
                <w:szCs w:val="32"/>
              </w:rPr>
              <w:t>00</w:t>
            </w:r>
          </w:p>
        </w:tc>
        <w:tc>
          <w:tcPr>
            <w:tcW w:w="696" w:type="pct"/>
            <w:vAlign w:val="center"/>
          </w:tcPr>
          <w:p>
            <w:pPr>
              <w:ind w:firstLine="0" w:firstLineChars="0"/>
              <w:jc w:val="center"/>
              <w:rPr>
                <w:rFonts w:cs="Times New Roman"/>
                <w:szCs w:val="32"/>
              </w:rPr>
            </w:pPr>
            <w:r>
              <w:rPr>
                <w:rFonts w:hint="eastAsia" w:cs="Times New Roman"/>
                <w:szCs w:val="32"/>
              </w:rPr>
              <w:t>6</w:t>
            </w:r>
            <w:r>
              <w:rPr>
                <w:rFonts w:cs="Times New Roman"/>
                <w:szCs w:val="32"/>
              </w:rPr>
              <w:t>800</w:t>
            </w:r>
          </w:p>
        </w:tc>
      </w:tr>
    </w:tbl>
    <w:p>
      <w:pPr>
        <w:ind w:firstLine="632"/>
      </w:pPr>
    </w:p>
    <w:p>
      <w:pPr>
        <w:ind w:firstLine="632"/>
      </w:pPr>
      <w:r>
        <w:rPr>
          <w:rFonts w:hint="eastAsia"/>
        </w:rPr>
        <w:t>（2）资金筹措</w:t>
      </w:r>
    </w:p>
    <w:p>
      <w:pPr>
        <w:ind w:firstLine="632"/>
      </w:pPr>
      <w:r>
        <w:rPr>
          <w:rFonts w:hint="eastAsia"/>
        </w:rPr>
        <w:t>江津区畜禽养殖污染防治建设所需资金以养殖场（户）自筹为主，社会投入为辅，并积极争取市级及区级资金的支持。</w:t>
      </w:r>
    </w:p>
    <w:p>
      <w:pPr>
        <w:ind w:firstLine="632"/>
        <w:outlineLvl w:val="1"/>
        <w:rPr>
          <w:rFonts w:eastAsia="方正楷体_GBK"/>
          <w:szCs w:val="32"/>
        </w:rPr>
      </w:pPr>
      <w:bookmarkStart w:id="33" w:name="_Toc79166999"/>
      <w:r>
        <w:rPr>
          <w:rFonts w:hint="eastAsia" w:eastAsia="方正楷体_GBK"/>
          <w:szCs w:val="32"/>
        </w:rPr>
        <w:t>（二）工程实施计划</w:t>
      </w:r>
      <w:bookmarkEnd w:id="33"/>
    </w:p>
    <w:p>
      <w:pPr>
        <w:ind w:firstLine="632"/>
      </w:pPr>
      <w:r>
        <w:rPr>
          <w:rFonts w:hint="eastAsia"/>
        </w:rPr>
        <w:t>1.工程计划</w:t>
      </w:r>
    </w:p>
    <w:p>
      <w:pPr>
        <w:ind w:firstLine="632"/>
      </w:pPr>
      <w:r>
        <w:rPr>
          <w:rFonts w:hint="eastAsia"/>
        </w:rPr>
        <w:t>畜禽养殖污染防治计划为2021-2025年，所有工程项目将按年度进度要求逐步实施。预计2025年12月前完成全部建设任务，具体实施进度由各区域根据实际情况自行安排。</w:t>
      </w:r>
    </w:p>
    <w:p>
      <w:pPr>
        <w:ind w:firstLine="632"/>
      </w:pPr>
      <w:r>
        <w:rPr>
          <w:rFonts w:hint="eastAsia"/>
        </w:rPr>
        <w:t>2.项目管理</w:t>
      </w:r>
    </w:p>
    <w:p>
      <w:pPr>
        <w:ind w:firstLine="632"/>
      </w:pPr>
      <w:r>
        <w:rPr>
          <w:rFonts w:hint="eastAsia"/>
        </w:rPr>
        <w:t>（1）项目建设过程的管理机构及管理模式</w:t>
      </w:r>
    </w:p>
    <w:p>
      <w:pPr>
        <w:ind w:firstLine="632"/>
      </w:pPr>
      <w:r>
        <w:rPr>
          <w:rFonts w:hint="eastAsia"/>
        </w:rPr>
        <w:t>为统筹项目建设，建议由区农业农村委畜牧发展中心牵头，协调并监督各镇街共同推进项目的实施。项目完成后，由区生态环境局和区农业农村委员会共同进行监督管理工作。</w:t>
      </w:r>
    </w:p>
    <w:p>
      <w:pPr>
        <w:ind w:firstLine="632"/>
      </w:pPr>
      <w:r>
        <w:rPr>
          <w:rFonts w:hint="eastAsia"/>
        </w:rPr>
        <w:t>（2）工程管理措施</w:t>
      </w:r>
    </w:p>
    <w:p>
      <w:pPr>
        <w:ind w:firstLine="632"/>
      </w:pPr>
      <w:r>
        <w:rPr>
          <w:rFonts w:hint="eastAsia"/>
        </w:rPr>
        <w:t>①各项目组要互相配合、协调工作，按工程总进度表分步实施。</w:t>
      </w:r>
    </w:p>
    <w:p>
      <w:pPr>
        <w:ind w:firstLine="632"/>
      </w:pPr>
      <w:r>
        <w:rPr>
          <w:rFonts w:hint="eastAsia"/>
        </w:rPr>
        <w:t>②根据项目投资估算，领导小组设专人负责，落实建设资金。</w:t>
      </w:r>
    </w:p>
    <w:p>
      <w:pPr>
        <w:ind w:firstLine="632"/>
      </w:pPr>
      <w:r>
        <w:rPr>
          <w:rFonts w:hint="eastAsia"/>
        </w:rPr>
        <w:t>③在项目实施过程中，各项目组要安排专人建立相关的规章管理制度，如：建设合同、进度、质量、资金使用计划和管理制度。</w:t>
      </w:r>
    </w:p>
    <w:p>
      <w:pPr>
        <w:ind w:firstLine="632"/>
      </w:pPr>
      <w:r>
        <w:rPr>
          <w:rFonts w:hint="eastAsia"/>
        </w:rPr>
        <w:t>④加强项目建设、监督管理、检查，分月份、季度、年度制定计划，并按制定的计划及时检查、调整，确保资金的使用和项目按要求完成。</w:t>
      </w:r>
    </w:p>
    <w:p>
      <w:pPr>
        <w:ind w:firstLine="632"/>
        <w:outlineLvl w:val="1"/>
        <w:rPr>
          <w:rFonts w:eastAsia="方正楷体_GBK"/>
          <w:szCs w:val="32"/>
        </w:rPr>
      </w:pPr>
      <w:bookmarkStart w:id="34" w:name="_Toc79167000"/>
      <w:r>
        <w:rPr>
          <w:rFonts w:hint="eastAsia" w:eastAsia="方正楷体_GBK"/>
          <w:szCs w:val="32"/>
        </w:rPr>
        <w:t>（三）预期效益分析</w:t>
      </w:r>
      <w:bookmarkEnd w:id="34"/>
    </w:p>
    <w:p>
      <w:pPr>
        <w:ind w:firstLine="632"/>
      </w:pPr>
      <w:r>
        <w:rPr>
          <w:rFonts w:hint="eastAsia"/>
        </w:rPr>
        <w:t>1.推进污染物总量减排</w:t>
      </w:r>
    </w:p>
    <w:p>
      <w:pPr>
        <w:ind w:firstLine="632"/>
      </w:pPr>
      <w:r>
        <w:rPr>
          <w:rFonts w:hint="eastAsia"/>
        </w:rPr>
        <w:t>在畜禽养殖承载力范围内，合理新增畜禽养殖量。通过实施畜禽养殖场污染防治工程及养殖场废弃物资源化利用工程，将实现江津区畜禽养殖污染物总量减排，加快规模化畜禽养殖场养殖废弃物综合利用和污染治理设施建设进程。各类技术示范工程将发挥积极的引导、带动和辐射作用，提高养殖企业和养殖户自发减排的积极性，促进全区畜禽养殖业污染减排工作持续深入开展，巩固减排工作成效，为保障江津区“十四五”主要污染物总量减排目标的实现发挥重要作用。</w:t>
      </w:r>
    </w:p>
    <w:p>
      <w:pPr>
        <w:ind w:firstLine="632"/>
      </w:pPr>
      <w:r>
        <w:rPr>
          <w:rFonts w:hint="eastAsia"/>
        </w:rPr>
        <w:t>2.改善区域和农村生态环境质量</w:t>
      </w:r>
    </w:p>
    <w:p>
      <w:pPr>
        <w:ind w:firstLine="632"/>
      </w:pPr>
      <w:r>
        <w:rPr>
          <w:rFonts w:hint="eastAsia"/>
        </w:rPr>
        <w:t>通过统筹安排、合理设计畜禽养殖废弃物综合利用和污染治理项目，有效缓解农业面源污染、改善水环境质量。通过发展家庭农场等新型养殖方式，发挥废弃物统一收集、集中处理的环境成效，农村地区粪便乱堆、污水乱排的现象有所改观，村容村貌得到改善，人畜混居状况有所缓解，农村人居环境质量得到提高。通过依法划定禁养区并强化污染防治，对饮用水水源地等环境敏感区域进行重点整治，将有效提升农村饮用水安全保障水平，农村居民健康得到保障。</w:t>
      </w:r>
    </w:p>
    <w:p>
      <w:pPr>
        <w:ind w:firstLine="632"/>
      </w:pPr>
      <w:r>
        <w:rPr>
          <w:rFonts w:hint="eastAsia"/>
        </w:rPr>
        <w:t>3.促进产业发展和农民增收</w:t>
      </w:r>
    </w:p>
    <w:p>
      <w:pPr>
        <w:ind w:firstLine="632"/>
      </w:pPr>
      <w:r>
        <w:rPr>
          <w:rFonts w:hint="eastAsia"/>
        </w:rPr>
        <w:t>通过落实严格环境准入、强化污染源头管控、加强技术引导示范、推行清洁养殖方式等措施，将促进畜禽养殖业的结构调整和布局优化，引导产业生态化、规模化、集约化转型，增强可持续发展能力。有机肥生产、沼气能源工程建设，将促进废弃物综合利用和产业链有效延伸，提高农产品品质和价值，提升产业综合效益，拓宽农民创收渠道，增加农民收入。</w:t>
      </w:r>
    </w:p>
    <w:p>
      <w:pPr>
        <w:spacing w:after="115" w:afterLines="20" w:line="560" w:lineRule="exact"/>
        <w:ind w:firstLine="632"/>
        <w:outlineLvl w:val="0"/>
        <w:rPr>
          <w:rFonts w:eastAsia="方正黑体_GBK"/>
          <w:szCs w:val="32"/>
        </w:rPr>
      </w:pPr>
      <w:bookmarkStart w:id="35" w:name="_Toc79167001"/>
      <w:r>
        <w:rPr>
          <w:rFonts w:hint="eastAsia" w:eastAsia="方正黑体_GBK"/>
          <w:szCs w:val="32"/>
        </w:rPr>
        <w:t>六、保障措施</w:t>
      </w:r>
      <w:bookmarkEnd w:id="35"/>
    </w:p>
    <w:p>
      <w:pPr>
        <w:ind w:firstLine="632"/>
        <w:outlineLvl w:val="1"/>
        <w:rPr>
          <w:rFonts w:eastAsia="方正楷体_GBK"/>
          <w:szCs w:val="32"/>
        </w:rPr>
      </w:pPr>
      <w:bookmarkStart w:id="36" w:name="_Toc79167002"/>
      <w:r>
        <w:rPr>
          <w:rFonts w:hint="eastAsia" w:eastAsia="方正楷体_GBK"/>
          <w:szCs w:val="32"/>
        </w:rPr>
        <w:t>（一）加强组织领导</w:t>
      </w:r>
      <w:bookmarkEnd w:id="36"/>
    </w:p>
    <w:p>
      <w:pPr>
        <w:ind w:firstLine="632"/>
      </w:pPr>
      <w:r>
        <w:rPr>
          <w:rFonts w:hint="eastAsia"/>
        </w:rPr>
        <w:t>严格落实责任，建立健全部门沟通协作机制，完善工作调度、检查、督办、通报制度，按照部门职责分工，抓好畜禽养殖污染防治规划目标、任务分解，并将其纳入政府年度目标责任考核，对规划实施进展缓慢、重点工程任务滞后或运行不稳定、政策措施落实不到位的部门、街镇（乡），跟踪问责问效，落实防治工作责任。完善工作台帐，倒排时间任务表，强化资源和信息共享，形成部门合力，确保在规定时限内完成到位。</w:t>
      </w:r>
    </w:p>
    <w:p>
      <w:pPr>
        <w:ind w:firstLine="632"/>
        <w:outlineLvl w:val="1"/>
        <w:rPr>
          <w:rFonts w:eastAsia="方正楷体_GBK"/>
          <w:szCs w:val="32"/>
        </w:rPr>
      </w:pPr>
      <w:bookmarkStart w:id="37" w:name="_Toc79167003"/>
      <w:r>
        <w:rPr>
          <w:rFonts w:hint="eastAsia" w:eastAsia="方正楷体_GBK"/>
          <w:szCs w:val="32"/>
        </w:rPr>
        <w:t>（二）强化监督管理</w:t>
      </w:r>
      <w:bookmarkEnd w:id="37"/>
    </w:p>
    <w:p>
      <w:pPr>
        <w:ind w:firstLine="632"/>
      </w:pPr>
      <w:r>
        <w:rPr>
          <w:rFonts w:hint="eastAsia"/>
        </w:rPr>
        <w:t>制定科学、规范、严格的考核体系、督查方案和目标考核办法，加大畜禽养殖污染执法力度，完善多部门联合监管、专项监督和舆论监督等多种监管方式。以规模化畜禽养殖场粪污处理、有机肥还田利用等有关政策落实等指标为重点，建立畜禽养殖废弃物资源化利用绩效评价考核制度，纳入地方政府绩效评价考核体系。依法切实履行病死动物无害化处理工作属地管理职责，强化监管，落实责任。充分发挥新闻媒体和环保举报热线的监督作用，鼓励公众对擅自建设畜禽养殖场、擅自停运污染防治设施和违规排污行为进行监督和举报，努力营造政府引导，业主自律、群众参与、媒体监督的良好氛围。</w:t>
      </w:r>
    </w:p>
    <w:p>
      <w:pPr>
        <w:ind w:firstLine="632"/>
        <w:outlineLvl w:val="1"/>
        <w:rPr>
          <w:rFonts w:eastAsia="方正楷体_GBK"/>
          <w:szCs w:val="32"/>
        </w:rPr>
      </w:pPr>
      <w:bookmarkStart w:id="38" w:name="_Toc79167004"/>
      <w:r>
        <w:rPr>
          <w:rFonts w:hint="eastAsia" w:eastAsia="方正楷体_GBK"/>
          <w:szCs w:val="32"/>
        </w:rPr>
        <w:t>（三）加大政策和技术支撑</w:t>
      </w:r>
      <w:bookmarkEnd w:id="38"/>
    </w:p>
    <w:p>
      <w:pPr>
        <w:ind w:firstLine="632"/>
      </w:pPr>
      <w:r>
        <w:rPr>
          <w:rFonts w:hint="eastAsia"/>
        </w:rPr>
        <w:t>加大对技术研发的投入和政策支持，拓宽资金渠道，加强资金整合，探索建立涉及财政、企业、社会的多元投入机制。优先制定和实施废弃物资源化利用、污染治理设施建设和运营，环境监测收费等优惠和扶持措施。出台畜禽养殖废弃物综合利用环境经济激励政策，对采用清洁生产技术、减排成效好、废弃物资源化利用水平高的规模化畜禽养殖场区实施税收减免、奖励补贴等优惠措施；针对商品沼气设施建设、有机肥生产等畜禽养殖废弃物综合利用工程，综合运用信贷、税收、补贴等机制模式，加大畜禽废弃物资源化利用支持力度。</w:t>
      </w:r>
    </w:p>
    <w:p>
      <w:pPr>
        <w:ind w:firstLine="632"/>
        <w:outlineLvl w:val="1"/>
        <w:rPr>
          <w:rFonts w:eastAsia="方正楷体_GBK"/>
          <w:szCs w:val="32"/>
        </w:rPr>
      </w:pPr>
      <w:bookmarkStart w:id="39" w:name="_Toc79167005"/>
      <w:r>
        <w:rPr>
          <w:rFonts w:hint="eastAsia" w:eastAsia="方正楷体_GBK"/>
          <w:szCs w:val="32"/>
        </w:rPr>
        <w:t>（四）加强宣教教育</w:t>
      </w:r>
      <w:bookmarkEnd w:id="39"/>
    </w:p>
    <w:p>
      <w:pPr>
        <w:ind w:firstLine="632"/>
      </w:pPr>
      <w:r>
        <w:rPr>
          <w:rFonts w:hint="eastAsia"/>
        </w:rPr>
        <w:t>加强对畜禽养殖业污染整治工作的舆论宣传，及时主动在部门网站上公开查处的环境违法畜禽养殖场环保信息，通过新闻媒体对挂牌督办环境问题、立案查处的环境违法案件，以及危害群众健康的突出问题予以曝光。充分利用微博、微信等新媒体，及时解读畜禽粪污资源化利用相关支持政策，加强畜禽养殖污染防治宣传教育，宣传推广各地的好经验好做法，构建全民行动体系在全社会营造整治畜禽养殖污染的舆论氛围，使“种养结合、生态养殖、循环养殖”的观念深入人心，提高养殖场（户）主参与污染防治的自觉性和主动性，以全社会的力量进行环境综合整治。</w:t>
      </w:r>
    </w:p>
    <w:p>
      <w:pPr>
        <w:ind w:firstLine="632"/>
        <w:sectPr>
          <w:pgSz w:w="11906" w:h="16838"/>
          <w:pgMar w:top="2098" w:right="1474" w:bottom="1985" w:left="1588" w:header="851" w:footer="992" w:gutter="0"/>
          <w:cols w:space="425" w:num="1"/>
          <w:docGrid w:type="linesAndChars" w:linePitch="579" w:charSpace="-849"/>
        </w:sectPr>
      </w:pPr>
    </w:p>
    <w:p>
      <w:pPr>
        <w:spacing w:after="115" w:afterLines="20" w:line="560" w:lineRule="exact"/>
        <w:ind w:firstLine="632"/>
        <w:jc w:val="left"/>
        <w:outlineLvl w:val="0"/>
        <w:rPr>
          <w:rFonts w:eastAsia="方正黑体_GBK" w:cs="Times New Roman"/>
          <w:szCs w:val="32"/>
        </w:rPr>
      </w:pPr>
      <w:bookmarkStart w:id="40" w:name="_Toc79167006"/>
      <w:r>
        <w:rPr>
          <w:rFonts w:hint="eastAsia" w:eastAsia="方正黑体_GBK" w:cs="Times New Roman"/>
          <w:szCs w:val="32"/>
        </w:rPr>
        <w:t>附件</w:t>
      </w:r>
      <w:bookmarkEnd w:id="40"/>
    </w:p>
    <w:p>
      <w:pPr>
        <w:ind w:firstLine="632"/>
        <w:outlineLvl w:val="1"/>
        <w:rPr>
          <w:rFonts w:eastAsia="方正楷体_GBK"/>
          <w:szCs w:val="32"/>
        </w:rPr>
      </w:pPr>
      <w:bookmarkStart w:id="41" w:name="_Toc79167007"/>
      <w:r>
        <w:rPr>
          <w:rFonts w:hint="eastAsia" w:eastAsia="方正楷体_GBK"/>
          <w:szCs w:val="32"/>
        </w:rPr>
        <w:t>附件1</w:t>
      </w:r>
      <w:r>
        <w:rPr>
          <w:rFonts w:eastAsia="方正楷体_GBK"/>
          <w:szCs w:val="32"/>
        </w:rPr>
        <w:t xml:space="preserve">  </w:t>
      </w:r>
      <w:r>
        <w:rPr>
          <w:rFonts w:hint="eastAsia" w:eastAsia="方正楷体_GBK"/>
          <w:szCs w:val="32"/>
        </w:rPr>
        <w:t>污染物产生情况计算方法说明</w:t>
      </w:r>
      <w:bookmarkEnd w:id="41"/>
    </w:p>
    <w:p>
      <w:pPr>
        <w:spacing w:line="560" w:lineRule="exact"/>
        <w:ind w:firstLine="632"/>
        <w:rPr>
          <w:rFonts w:cs="Times New Roman"/>
          <w:szCs w:val="32"/>
        </w:rPr>
      </w:pPr>
      <w:r>
        <w:rPr>
          <w:rFonts w:hint="eastAsia" w:cs="Times New Roman"/>
          <w:szCs w:val="32"/>
        </w:rPr>
        <w:t>1</w:t>
      </w:r>
      <w:r>
        <w:rPr>
          <w:rFonts w:cs="Times New Roman"/>
          <w:szCs w:val="32"/>
        </w:rPr>
        <w:t>.</w:t>
      </w:r>
      <w:r>
        <w:rPr>
          <w:rFonts w:hint="eastAsia" w:cs="Times New Roman"/>
          <w:szCs w:val="32"/>
        </w:rPr>
        <w:t>畜禽粪、尿排泄系数</w:t>
      </w:r>
    </w:p>
    <w:p>
      <w:pPr>
        <w:spacing w:line="560" w:lineRule="exact"/>
        <w:ind w:firstLine="632"/>
        <w:rPr>
          <w:rFonts w:cs="Times New Roman"/>
          <w:szCs w:val="32"/>
        </w:rPr>
      </w:pPr>
      <w:r>
        <w:rPr>
          <w:rFonts w:cs="Times New Roman"/>
          <w:szCs w:val="32"/>
        </w:rPr>
        <w:t>据国家</w:t>
      </w:r>
      <w:r>
        <w:rPr>
          <w:rFonts w:hint="eastAsia" w:cs="Times New Roman"/>
          <w:szCs w:val="32"/>
        </w:rPr>
        <w:t>生态环境部（原国家环境保护总局）</w:t>
      </w:r>
      <w:r>
        <w:rPr>
          <w:rFonts w:cs="Times New Roman"/>
          <w:szCs w:val="32"/>
        </w:rPr>
        <w:t>《关于减免家禽业排污费等有关问题的通知》（环发（2004）43号）</w:t>
      </w:r>
      <w:r>
        <w:rPr>
          <w:rFonts w:hint="eastAsia" w:cs="Times New Roman"/>
          <w:szCs w:val="32"/>
        </w:rPr>
        <w:t>等文件</w:t>
      </w:r>
      <w:r>
        <w:rPr>
          <w:rFonts w:cs="Times New Roman"/>
          <w:szCs w:val="32"/>
        </w:rPr>
        <w:t>，</w:t>
      </w:r>
      <w:r>
        <w:rPr>
          <w:rFonts w:hint="eastAsia" w:cs="Times New Roman"/>
          <w:szCs w:val="32"/>
        </w:rPr>
        <w:t>畜禽</w:t>
      </w:r>
      <w:r>
        <w:rPr>
          <w:rFonts w:cs="Times New Roman"/>
          <w:szCs w:val="32"/>
        </w:rPr>
        <w:t>粪便排泄系数表和畜禽粪便中的污染物平均含量</w:t>
      </w:r>
      <w:r>
        <w:rPr>
          <w:rFonts w:hint="eastAsia" w:cs="Times New Roman"/>
          <w:szCs w:val="32"/>
        </w:rPr>
        <w:t>见表</w:t>
      </w:r>
      <w:r>
        <w:rPr>
          <w:rFonts w:cs="Times New Roman"/>
          <w:szCs w:val="32"/>
        </w:rPr>
        <w:t>1</w:t>
      </w:r>
      <w:r>
        <w:rPr>
          <w:rFonts w:hint="eastAsia" w:cs="Times New Roman"/>
          <w:szCs w:val="32"/>
        </w:rPr>
        <w:t>-</w:t>
      </w:r>
      <w:r>
        <w:rPr>
          <w:rFonts w:cs="Times New Roman"/>
          <w:szCs w:val="32"/>
        </w:rPr>
        <w:t>1</w:t>
      </w:r>
      <w:r>
        <w:rPr>
          <w:rFonts w:hint="eastAsia" w:cs="Times New Roman"/>
          <w:szCs w:val="32"/>
        </w:rPr>
        <w:t>、表</w:t>
      </w:r>
      <w:r>
        <w:rPr>
          <w:rFonts w:cs="Times New Roman"/>
          <w:szCs w:val="32"/>
        </w:rPr>
        <w:t>1</w:t>
      </w:r>
      <w:r>
        <w:rPr>
          <w:rFonts w:hint="eastAsia" w:cs="Times New Roman"/>
          <w:szCs w:val="32"/>
        </w:rPr>
        <w:t>-</w:t>
      </w:r>
      <w:r>
        <w:rPr>
          <w:rFonts w:cs="Times New Roman"/>
          <w:szCs w:val="32"/>
        </w:rPr>
        <w:t>2，其它</w:t>
      </w:r>
      <w:r>
        <w:rPr>
          <w:rFonts w:hint="eastAsia" w:cs="Times New Roman"/>
          <w:szCs w:val="32"/>
        </w:rPr>
        <w:t>畜禽</w:t>
      </w:r>
      <w:r>
        <w:rPr>
          <w:rFonts w:cs="Times New Roman"/>
          <w:szCs w:val="32"/>
        </w:rPr>
        <w:t>的排泄量和粪便中污染物含量以</w:t>
      </w:r>
      <w:r>
        <w:rPr>
          <w:rFonts w:hint="eastAsia" w:cs="Times New Roman"/>
          <w:szCs w:val="32"/>
        </w:rPr>
        <w:t>猪当量</w:t>
      </w:r>
      <w:r>
        <w:rPr>
          <w:rFonts w:cs="Times New Roman"/>
          <w:szCs w:val="32"/>
        </w:rPr>
        <w:t>计。</w:t>
      </w:r>
    </w:p>
    <w:p>
      <w:pPr>
        <w:wordWrap w:val="0"/>
        <w:ind w:firstLine="0" w:firstLineChars="0"/>
        <w:jc w:val="center"/>
        <w:rPr>
          <w:rFonts w:eastAsia="方正黑体_GBK" w:cs="Times New Roman"/>
          <w:sz w:val="28"/>
          <w:szCs w:val="28"/>
        </w:rPr>
      </w:pPr>
      <w:r>
        <w:rPr>
          <w:rFonts w:hint="eastAsia" w:eastAsia="方正黑体_GBK" w:cs="Times New Roman"/>
          <w:sz w:val="28"/>
          <w:szCs w:val="28"/>
        </w:rPr>
        <w:t>表</w:t>
      </w:r>
      <w:r>
        <w:rPr>
          <w:rFonts w:eastAsia="方正黑体_GBK" w:cs="Times New Roman"/>
          <w:sz w:val="28"/>
          <w:szCs w:val="28"/>
        </w:rPr>
        <w:t>1</w:t>
      </w:r>
      <w:r>
        <w:rPr>
          <w:rFonts w:hint="eastAsia" w:eastAsia="方正黑体_GBK" w:cs="Times New Roman"/>
          <w:sz w:val="28"/>
          <w:szCs w:val="28"/>
        </w:rPr>
        <w:t>-</w:t>
      </w:r>
      <w:r>
        <w:rPr>
          <w:rFonts w:eastAsia="方正黑体_GBK" w:cs="Times New Roman"/>
          <w:sz w:val="28"/>
          <w:szCs w:val="28"/>
        </w:rPr>
        <w:t xml:space="preserve">1  </w:t>
      </w:r>
      <w:r>
        <w:rPr>
          <w:rFonts w:hint="eastAsia" w:eastAsia="方正黑体_GBK" w:cs="Times New Roman"/>
          <w:sz w:val="28"/>
          <w:szCs w:val="28"/>
        </w:rPr>
        <w:t>畜禽粪便排泄系数</w:t>
      </w:r>
    </w:p>
    <w:tbl>
      <w:tblPr>
        <w:tblStyle w:val="1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30"/>
        <w:gridCol w:w="932"/>
        <w:gridCol w:w="1127"/>
        <w:gridCol w:w="932"/>
        <w:gridCol w:w="1029"/>
        <w:gridCol w:w="1127"/>
        <w:gridCol w:w="11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2530" w:type="dxa"/>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项目</w:t>
            </w:r>
          </w:p>
        </w:tc>
        <w:tc>
          <w:tcPr>
            <w:tcW w:w="932"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猪</w:t>
            </w:r>
          </w:p>
        </w:tc>
        <w:tc>
          <w:tcPr>
            <w:tcW w:w="1127"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牛</w:t>
            </w:r>
          </w:p>
        </w:tc>
        <w:tc>
          <w:tcPr>
            <w:tcW w:w="932"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羊</w:t>
            </w:r>
          </w:p>
        </w:tc>
        <w:tc>
          <w:tcPr>
            <w:tcW w:w="1029"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鸡</w:t>
            </w:r>
          </w:p>
        </w:tc>
        <w:tc>
          <w:tcPr>
            <w:tcW w:w="1127"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鸭、鹅</w:t>
            </w:r>
          </w:p>
        </w:tc>
        <w:tc>
          <w:tcPr>
            <w:tcW w:w="1127" w:type="dxa"/>
            <w:vAlign w:val="center"/>
          </w:tcPr>
          <w:p>
            <w:pPr>
              <w:widowControl/>
              <w:adjustRightInd w:val="0"/>
              <w:snapToGrid w:val="0"/>
              <w:spacing w:line="300" w:lineRule="exact"/>
              <w:ind w:firstLine="0" w:firstLineChars="0"/>
              <w:jc w:val="center"/>
              <w:rPr>
                <w:rFonts w:ascii="方正黑体_GBK" w:eastAsia="方正黑体_GBK" w:cs="Times New Roman"/>
                <w:bCs/>
                <w:kern w:val="0"/>
                <w:sz w:val="24"/>
                <w:szCs w:val="24"/>
              </w:rPr>
            </w:pPr>
            <w:r>
              <w:rPr>
                <w:rFonts w:hint="eastAsia" w:ascii="方正黑体_GBK" w:eastAsia="方正黑体_GBK" w:cs="Times New Roman"/>
                <w:bCs/>
                <w:kern w:val="0"/>
                <w:sz w:val="24"/>
                <w:szCs w:val="24"/>
              </w:rPr>
              <w:t>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2530" w:type="dxa"/>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粪（千克</w:t>
            </w:r>
            <w:r>
              <w:rPr>
                <w:rFonts w:cs="Times New Roman"/>
                <w:bCs/>
                <w:kern w:val="0"/>
                <w:sz w:val="24"/>
                <w:szCs w:val="24"/>
              </w:rPr>
              <w:t>/</w:t>
            </w:r>
            <w:r>
              <w:rPr>
                <w:rFonts w:hint="eastAsia" w:cs="Times New Roman"/>
                <w:bCs/>
                <w:kern w:val="0"/>
                <w:sz w:val="24"/>
                <w:szCs w:val="24"/>
              </w:rPr>
              <w:t>年）</w:t>
            </w:r>
          </w:p>
        </w:tc>
        <w:tc>
          <w:tcPr>
            <w:tcW w:w="932"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398</w:t>
            </w:r>
          </w:p>
        </w:tc>
        <w:tc>
          <w:tcPr>
            <w:tcW w:w="1127"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7300</w:t>
            </w:r>
          </w:p>
        </w:tc>
        <w:tc>
          <w:tcPr>
            <w:tcW w:w="932"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950</w:t>
            </w:r>
          </w:p>
        </w:tc>
        <w:tc>
          <w:tcPr>
            <w:tcW w:w="1029"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25.2</w:t>
            </w:r>
          </w:p>
        </w:tc>
        <w:tc>
          <w:tcPr>
            <w:tcW w:w="1127"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27.3</w:t>
            </w:r>
          </w:p>
        </w:tc>
        <w:tc>
          <w:tcPr>
            <w:tcW w:w="1127"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10.56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3" w:hRule="atLeast"/>
          <w:jc w:val="center"/>
        </w:trPr>
        <w:tc>
          <w:tcPr>
            <w:tcW w:w="2530" w:type="dxa"/>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尿（千克</w:t>
            </w:r>
            <w:r>
              <w:rPr>
                <w:rFonts w:cs="Times New Roman"/>
                <w:bCs/>
                <w:kern w:val="0"/>
                <w:sz w:val="24"/>
                <w:szCs w:val="24"/>
              </w:rPr>
              <w:t>/</w:t>
            </w:r>
            <w:r>
              <w:rPr>
                <w:rFonts w:hint="eastAsia" w:cs="Times New Roman"/>
                <w:bCs/>
                <w:kern w:val="0"/>
                <w:sz w:val="24"/>
                <w:szCs w:val="24"/>
              </w:rPr>
              <w:t>年）</w:t>
            </w:r>
          </w:p>
        </w:tc>
        <w:tc>
          <w:tcPr>
            <w:tcW w:w="932"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657</w:t>
            </w:r>
          </w:p>
        </w:tc>
        <w:tc>
          <w:tcPr>
            <w:tcW w:w="1127" w:type="dxa"/>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3650</w:t>
            </w:r>
          </w:p>
        </w:tc>
        <w:tc>
          <w:tcPr>
            <w:tcW w:w="932" w:type="dxa"/>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Arial"/>
                <w:kern w:val="0"/>
                <w:sz w:val="24"/>
                <w:szCs w:val="24"/>
              </w:rPr>
              <w:t>—</w:t>
            </w:r>
          </w:p>
        </w:tc>
        <w:tc>
          <w:tcPr>
            <w:tcW w:w="1029" w:type="dxa"/>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Arial"/>
                <w:kern w:val="0"/>
                <w:sz w:val="24"/>
                <w:szCs w:val="24"/>
              </w:rPr>
              <w:t>—</w:t>
            </w:r>
          </w:p>
        </w:tc>
        <w:tc>
          <w:tcPr>
            <w:tcW w:w="1127" w:type="dxa"/>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Arial"/>
                <w:kern w:val="0"/>
                <w:sz w:val="24"/>
                <w:szCs w:val="24"/>
              </w:rPr>
              <w:t>—</w:t>
            </w:r>
          </w:p>
        </w:tc>
        <w:tc>
          <w:tcPr>
            <w:tcW w:w="1127" w:type="dxa"/>
            <w:vAlign w:val="center"/>
          </w:tcPr>
          <w:p>
            <w:pPr>
              <w:widowControl/>
              <w:adjustRightInd w:val="0"/>
              <w:snapToGrid w:val="0"/>
              <w:spacing w:line="300" w:lineRule="exact"/>
              <w:ind w:firstLine="0" w:firstLineChars="0"/>
              <w:jc w:val="center"/>
              <w:rPr>
                <w:rFonts w:cs="Times New Roman"/>
                <w:kern w:val="0"/>
                <w:sz w:val="24"/>
                <w:szCs w:val="24"/>
              </w:rPr>
            </w:pPr>
            <w:r>
              <w:rPr>
                <w:rFonts w:cs="Times New Roman"/>
                <w:kern w:val="0"/>
                <w:sz w:val="24"/>
                <w:szCs w:val="24"/>
              </w:rPr>
              <w:t>5.28</w:t>
            </w:r>
          </w:p>
        </w:tc>
      </w:tr>
    </w:tbl>
    <w:p>
      <w:pPr>
        <w:wordWrap w:val="0"/>
        <w:ind w:firstLine="552"/>
        <w:jc w:val="center"/>
        <w:rPr>
          <w:rFonts w:eastAsia="方正黑体简体" w:cs="Times New Roman"/>
          <w:sz w:val="28"/>
          <w:szCs w:val="28"/>
        </w:rPr>
      </w:pPr>
    </w:p>
    <w:p>
      <w:pPr>
        <w:wordWrap w:val="0"/>
        <w:ind w:firstLine="552"/>
        <w:jc w:val="center"/>
        <w:rPr>
          <w:rFonts w:eastAsia="方正黑体_GBK" w:cs="Times New Roman"/>
          <w:sz w:val="28"/>
          <w:szCs w:val="28"/>
        </w:rPr>
      </w:pPr>
      <w:r>
        <w:rPr>
          <w:rFonts w:hint="eastAsia" w:eastAsia="方正黑体_GBK" w:cs="Times New Roman"/>
          <w:sz w:val="28"/>
          <w:szCs w:val="28"/>
        </w:rPr>
        <w:t>表</w:t>
      </w:r>
      <w:r>
        <w:rPr>
          <w:rFonts w:eastAsia="方正黑体_GBK" w:cs="Times New Roman"/>
          <w:sz w:val="28"/>
          <w:szCs w:val="28"/>
        </w:rPr>
        <w:t>1</w:t>
      </w:r>
      <w:r>
        <w:rPr>
          <w:rFonts w:hint="eastAsia" w:eastAsia="方正黑体_GBK" w:cs="Times New Roman"/>
          <w:sz w:val="28"/>
          <w:szCs w:val="28"/>
        </w:rPr>
        <w:t>-</w:t>
      </w:r>
      <w:r>
        <w:rPr>
          <w:rFonts w:eastAsia="方正黑体_GBK" w:cs="Times New Roman"/>
          <w:sz w:val="28"/>
          <w:szCs w:val="28"/>
        </w:rPr>
        <w:t xml:space="preserve">2  </w:t>
      </w:r>
      <w:r>
        <w:rPr>
          <w:rFonts w:hint="eastAsia" w:eastAsia="方正黑体_GBK" w:cs="Times New Roman"/>
          <w:sz w:val="28"/>
          <w:szCs w:val="28"/>
        </w:rPr>
        <w:t>畜禽粪便中污染物平均含量</w:t>
      </w:r>
      <w:r>
        <w:rPr>
          <w:rFonts w:eastAsia="方正黑体_GBK" w:cs="Times New Roman"/>
          <w:sz w:val="28"/>
          <w:szCs w:val="28"/>
        </w:rPr>
        <w:t xml:space="preserve">    </w:t>
      </w:r>
      <w:r>
        <w:rPr>
          <w:rFonts w:hint="eastAsia" w:eastAsia="方正黑体_GBK" w:cs="Times New Roman"/>
          <w:sz w:val="24"/>
          <w:szCs w:val="24"/>
        </w:rPr>
        <w:t>单位：</w:t>
      </w:r>
      <w:r>
        <w:rPr>
          <w:rFonts w:eastAsia="方正黑体_GBK" w:cs="Times New Roman"/>
          <w:sz w:val="24"/>
          <w:szCs w:val="24"/>
        </w:rPr>
        <w:t>kg/t</w:t>
      </w:r>
    </w:p>
    <w:tbl>
      <w:tblPr>
        <w:tblStyle w:val="10"/>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489"/>
        <w:gridCol w:w="1446"/>
        <w:gridCol w:w="1501"/>
        <w:gridCol w:w="1771"/>
        <w:gridCol w:w="1273"/>
        <w:gridCol w:w="1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hint="eastAsia" w:eastAsia="方正黑体_GBK" w:cs="Times New Roman"/>
                <w:bCs/>
                <w:kern w:val="0"/>
                <w:sz w:val="24"/>
                <w:szCs w:val="24"/>
              </w:rPr>
              <w:t>项目</w:t>
            </w:r>
          </w:p>
        </w:tc>
        <w:tc>
          <w:tcPr>
            <w:tcW w:w="805" w:type="pct"/>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eastAsia="方正黑体_GBK" w:cs="Times New Roman"/>
                <w:bCs/>
                <w:kern w:val="0"/>
                <w:sz w:val="24"/>
                <w:szCs w:val="24"/>
              </w:rPr>
              <w:t>COD</w:t>
            </w:r>
          </w:p>
        </w:tc>
        <w:tc>
          <w:tcPr>
            <w:tcW w:w="836" w:type="pct"/>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eastAsia="方正黑体_GBK" w:cs="Times New Roman"/>
                <w:bCs/>
                <w:kern w:val="0"/>
                <w:sz w:val="24"/>
                <w:szCs w:val="24"/>
              </w:rPr>
              <w:t>BOD</w:t>
            </w:r>
          </w:p>
        </w:tc>
        <w:tc>
          <w:tcPr>
            <w:tcW w:w="986" w:type="pct"/>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eastAsia="方正黑体_GBK" w:cs="Times New Roman"/>
                <w:bCs/>
                <w:kern w:val="0"/>
                <w:sz w:val="24"/>
                <w:szCs w:val="24"/>
              </w:rPr>
              <w:t>NH</w:t>
            </w:r>
            <w:r>
              <w:rPr>
                <w:rFonts w:eastAsia="方正黑体_GBK" w:cs="Times New Roman"/>
                <w:bCs/>
                <w:kern w:val="0"/>
                <w:sz w:val="24"/>
                <w:szCs w:val="24"/>
                <w:vertAlign w:val="subscript"/>
              </w:rPr>
              <w:t>3</w:t>
            </w:r>
            <w:r>
              <w:rPr>
                <w:rFonts w:eastAsia="方正黑体_GBK" w:cs="Times New Roman"/>
                <w:bCs/>
                <w:kern w:val="0"/>
                <w:sz w:val="24"/>
                <w:szCs w:val="24"/>
              </w:rPr>
              <w:t>-N</w:t>
            </w:r>
          </w:p>
        </w:tc>
        <w:tc>
          <w:tcPr>
            <w:tcW w:w="709" w:type="pct"/>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eastAsia="方正黑体_GBK" w:cs="Times New Roman"/>
                <w:bCs/>
                <w:kern w:val="0"/>
                <w:sz w:val="24"/>
                <w:szCs w:val="24"/>
              </w:rPr>
              <w:t>TP</w:t>
            </w:r>
          </w:p>
        </w:tc>
        <w:tc>
          <w:tcPr>
            <w:tcW w:w="836" w:type="pct"/>
            <w:vAlign w:val="center"/>
          </w:tcPr>
          <w:p>
            <w:pPr>
              <w:widowControl/>
              <w:adjustRightInd w:val="0"/>
              <w:snapToGrid w:val="0"/>
              <w:spacing w:line="300" w:lineRule="exact"/>
              <w:ind w:firstLine="0" w:firstLineChars="0"/>
              <w:jc w:val="center"/>
              <w:rPr>
                <w:rFonts w:eastAsia="方正黑体_GBK" w:cs="Times New Roman"/>
                <w:bCs/>
                <w:kern w:val="0"/>
                <w:sz w:val="24"/>
                <w:szCs w:val="24"/>
              </w:rPr>
            </w:pPr>
            <w:r>
              <w:rPr>
                <w:rFonts w:eastAsia="方正黑体_GBK" w:cs="Times New Roman"/>
                <w:bCs/>
                <w:kern w:val="0"/>
                <w:sz w:val="24"/>
                <w:szCs w:val="24"/>
              </w:rPr>
              <w:t>TN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牛粪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31</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24.53</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1.7</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1.18</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牛尿</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6</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3.5</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0.4</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猪粪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52</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57.03</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3.1</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3.41</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5.88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猪尿</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9</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5</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1.4</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0.52</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羊粪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4.63</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4.1</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0.8</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2.6</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7.5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鸡粪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45</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47.9</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4.78</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5.37</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9.84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鸭鹅粪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46.3</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30</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0.8</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6.2</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兔粪</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4.63</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4.10</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0.80</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2.60</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7.50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9" w:type="pct"/>
            <w:tcMar>
              <w:top w:w="28" w:type="dxa"/>
              <w:left w:w="28" w:type="dxa"/>
              <w:bottom w:w="28" w:type="dxa"/>
              <w:right w:w="28" w:type="dxa"/>
            </w:tcMar>
            <w:vAlign w:val="center"/>
          </w:tcPr>
          <w:p>
            <w:pPr>
              <w:widowControl/>
              <w:adjustRightInd w:val="0"/>
              <w:snapToGrid w:val="0"/>
              <w:spacing w:line="300" w:lineRule="exact"/>
              <w:ind w:firstLine="0" w:firstLineChars="0"/>
              <w:jc w:val="center"/>
              <w:rPr>
                <w:rFonts w:cs="Times New Roman"/>
                <w:bCs/>
                <w:kern w:val="0"/>
                <w:sz w:val="24"/>
                <w:szCs w:val="24"/>
              </w:rPr>
            </w:pPr>
            <w:r>
              <w:rPr>
                <w:rFonts w:hint="eastAsia" w:cs="Times New Roman"/>
                <w:bCs/>
                <w:kern w:val="0"/>
                <w:sz w:val="24"/>
                <w:szCs w:val="24"/>
              </w:rPr>
              <w:t>兔尿</w:t>
            </w:r>
          </w:p>
        </w:tc>
        <w:tc>
          <w:tcPr>
            <w:tcW w:w="805"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4.63</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4.10</w:t>
            </w:r>
          </w:p>
        </w:tc>
        <w:tc>
          <w:tcPr>
            <w:tcW w:w="98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0.80</w:t>
            </w:r>
          </w:p>
        </w:tc>
        <w:tc>
          <w:tcPr>
            <w:tcW w:w="709"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1.96</w:t>
            </w:r>
          </w:p>
        </w:tc>
        <w:tc>
          <w:tcPr>
            <w:tcW w:w="836" w:type="pct"/>
            <w:vAlign w:val="center"/>
          </w:tcPr>
          <w:p>
            <w:pPr>
              <w:widowControl/>
              <w:adjustRightInd w:val="0"/>
              <w:snapToGrid w:val="0"/>
              <w:spacing w:line="300" w:lineRule="exact"/>
              <w:ind w:firstLine="0" w:firstLineChars="0"/>
              <w:jc w:val="center"/>
              <w:rPr>
                <w:rFonts w:cs="Times New Roman"/>
                <w:bCs/>
                <w:kern w:val="0"/>
                <w:sz w:val="24"/>
                <w:szCs w:val="24"/>
              </w:rPr>
            </w:pPr>
            <w:r>
              <w:rPr>
                <w:rFonts w:cs="Times New Roman"/>
                <w:bCs/>
                <w:kern w:val="0"/>
                <w:sz w:val="24"/>
                <w:szCs w:val="24"/>
              </w:rPr>
              <w:t>14.00</w:t>
            </w:r>
          </w:p>
        </w:tc>
      </w:tr>
    </w:tbl>
    <w:p>
      <w:pPr>
        <w:spacing w:line="560" w:lineRule="exact"/>
        <w:ind w:firstLine="632"/>
        <w:rPr>
          <w:rFonts w:cs="Times New Roman"/>
          <w:szCs w:val="32"/>
        </w:rPr>
      </w:pPr>
    </w:p>
    <w:p>
      <w:pPr>
        <w:spacing w:line="560" w:lineRule="exact"/>
        <w:ind w:firstLine="632"/>
        <w:rPr>
          <w:rFonts w:cs="Times New Roman"/>
          <w:szCs w:val="32"/>
        </w:rPr>
      </w:pPr>
      <w:r>
        <w:rPr>
          <w:rFonts w:hint="eastAsia" w:cs="Times New Roman"/>
          <w:szCs w:val="32"/>
        </w:rPr>
        <w:t>2</w:t>
      </w:r>
      <w:r>
        <w:rPr>
          <w:rFonts w:cs="Times New Roman"/>
          <w:szCs w:val="32"/>
        </w:rPr>
        <w:t>.</w:t>
      </w:r>
      <w:r>
        <w:rPr>
          <w:rFonts w:hint="eastAsia" w:cs="Times New Roman"/>
          <w:szCs w:val="32"/>
        </w:rPr>
        <w:t>估算公式</w:t>
      </w:r>
    </w:p>
    <w:p>
      <w:pPr>
        <w:spacing w:line="560" w:lineRule="exact"/>
        <w:ind w:firstLine="632"/>
        <w:rPr>
          <w:rFonts w:cs="Times New Roman"/>
          <w:szCs w:val="32"/>
        </w:rPr>
      </w:pPr>
      <w:r>
        <w:rPr>
          <w:rFonts w:hint="eastAsia" w:cs="Times New Roman"/>
          <w:szCs w:val="32"/>
        </w:rPr>
        <w:t>（1）畜禽的年度粪便产生量计算公式</w:t>
      </w:r>
    </w:p>
    <w:p>
      <w:pPr>
        <w:spacing w:line="560" w:lineRule="exact"/>
        <w:ind w:firstLine="948" w:firstLineChars="300"/>
        <w:rPr>
          <w:rFonts w:cs="Times New Roman"/>
          <w:szCs w:val="32"/>
        </w:rPr>
      </w:pPr>
      <m:oMathPara>
        <m:oMath>
          <m:r>
            <m:rPr/>
            <w:rPr>
              <w:rFonts w:ascii="Cambria Math" w:eastAsia="等线" w:cs="Times New Roman"/>
              <w:szCs w:val="32"/>
            </w:rPr>
            <m:t>Q=N×P</m:t>
          </m:r>
        </m:oMath>
      </m:oMathPara>
    </w:p>
    <w:p>
      <w:pPr>
        <w:spacing w:line="560" w:lineRule="exact"/>
        <w:ind w:firstLine="632"/>
        <w:rPr>
          <w:rFonts w:cs="Times New Roman"/>
          <w:szCs w:val="32"/>
        </w:rPr>
      </w:pPr>
      <w:r>
        <w:rPr>
          <w:rFonts w:hint="eastAsia" w:cs="Times New Roman"/>
          <w:szCs w:val="32"/>
        </w:rPr>
        <w:t>其中：Q为年度畜禽粪便产生量；</w:t>
      </w:r>
    </w:p>
    <w:p>
      <w:pPr>
        <w:spacing w:line="560" w:lineRule="exact"/>
        <w:ind w:firstLine="1580" w:firstLineChars="500"/>
        <w:rPr>
          <w:rFonts w:cs="Times New Roman"/>
          <w:szCs w:val="32"/>
        </w:rPr>
      </w:pPr>
      <w:r>
        <w:rPr>
          <w:rFonts w:hint="eastAsia" w:cs="Times New Roman"/>
          <w:szCs w:val="32"/>
        </w:rPr>
        <w:t>N为饲养量；</w:t>
      </w:r>
    </w:p>
    <w:p>
      <w:pPr>
        <w:spacing w:line="560" w:lineRule="exact"/>
        <w:ind w:firstLine="1580" w:firstLineChars="500"/>
        <w:rPr>
          <w:rFonts w:cs="Times New Roman"/>
          <w:szCs w:val="32"/>
        </w:rPr>
      </w:pPr>
      <w:r>
        <w:rPr>
          <w:rFonts w:hint="eastAsia" w:cs="Times New Roman"/>
          <w:szCs w:val="32"/>
        </w:rPr>
        <w:t>P为排泄系数。</w:t>
      </w:r>
    </w:p>
    <w:p>
      <w:pPr>
        <w:spacing w:line="560" w:lineRule="exact"/>
        <w:ind w:firstLine="632"/>
        <w:rPr>
          <w:rFonts w:cs="Times New Roman"/>
          <w:szCs w:val="32"/>
        </w:rPr>
      </w:pPr>
      <w:r>
        <w:rPr>
          <w:rFonts w:hint="eastAsia" w:cs="Times New Roman"/>
          <w:szCs w:val="32"/>
        </w:rPr>
        <w:t>（2）畜禽粪便中污染物量的估算公式</w:t>
      </w:r>
    </w:p>
    <w:p>
      <w:pPr>
        <w:spacing w:line="560" w:lineRule="exact"/>
        <w:ind w:firstLine="1580" w:firstLineChars="500"/>
        <w:rPr>
          <w:rFonts w:cs="Times New Roman"/>
          <w:szCs w:val="32"/>
        </w:rPr>
      </w:pPr>
      <m:oMathPara>
        <m:oMathParaPr>
          <m:jc m:val="center"/>
        </m:oMathParaPr>
        <m:oMath>
          <m:r>
            <m:rPr/>
            <w:rPr>
              <w:rFonts w:ascii="Cambria Math" w:eastAsia="等线" w:cs="Times New Roman"/>
              <w:szCs w:val="32"/>
            </w:rPr>
            <m:t>A=Q×c</m:t>
          </m:r>
        </m:oMath>
      </m:oMathPara>
    </w:p>
    <w:p>
      <w:pPr>
        <w:spacing w:line="560" w:lineRule="exact"/>
        <w:ind w:firstLine="632"/>
        <w:rPr>
          <w:rFonts w:cs="Times New Roman"/>
          <w:szCs w:val="32"/>
        </w:rPr>
      </w:pPr>
      <w:r>
        <w:rPr>
          <w:rFonts w:hint="eastAsia" w:cs="Times New Roman"/>
          <w:szCs w:val="32"/>
        </w:rPr>
        <w:t>其中：A为畜禽粪便中污染物含量；</w:t>
      </w:r>
    </w:p>
    <w:p>
      <w:pPr>
        <w:spacing w:line="560" w:lineRule="exact"/>
        <w:ind w:firstLine="1580" w:firstLineChars="500"/>
        <w:rPr>
          <w:rFonts w:cs="Times New Roman"/>
          <w:szCs w:val="32"/>
        </w:rPr>
      </w:pPr>
      <w:r>
        <w:rPr>
          <w:rFonts w:hint="eastAsia" w:cs="Times New Roman"/>
          <w:szCs w:val="32"/>
        </w:rPr>
        <w:t>Q为畜禽粪便产生量；</w:t>
      </w:r>
    </w:p>
    <w:p>
      <w:pPr>
        <w:ind w:firstLine="632"/>
        <w:rPr>
          <w:rFonts w:cs="Times New Roman"/>
          <w:szCs w:val="32"/>
        </w:rPr>
      </w:pPr>
      <w:r>
        <w:rPr>
          <w:rFonts w:hint="eastAsia" w:cs="Times New Roman"/>
          <w:szCs w:val="32"/>
        </w:rPr>
        <w:t>c为单位质量畜禽粪便污染物含量。</w:t>
      </w:r>
    </w:p>
    <w:p>
      <w:pPr>
        <w:ind w:firstLine="632"/>
        <w:rPr>
          <w:rFonts w:cs="Times New Roman"/>
          <w:szCs w:val="32"/>
        </w:rPr>
        <w:sectPr>
          <w:pgSz w:w="11906" w:h="16838"/>
          <w:pgMar w:top="2098" w:right="1474" w:bottom="1985" w:left="1588" w:header="851" w:footer="992" w:gutter="0"/>
          <w:cols w:space="425" w:num="1"/>
          <w:docGrid w:type="linesAndChars" w:linePitch="579" w:charSpace="-849"/>
        </w:sectPr>
      </w:pPr>
    </w:p>
    <w:p>
      <w:pPr>
        <w:ind w:left="0" w:leftChars="0" w:firstLine="0" w:firstLineChars="0"/>
        <w:outlineLvl w:val="1"/>
        <w:rPr>
          <w:rFonts w:eastAsia="方正楷体_GBK"/>
          <w:szCs w:val="32"/>
        </w:rPr>
      </w:pPr>
      <w:bookmarkStart w:id="42" w:name="_Toc79167008"/>
      <w:r>
        <w:rPr>
          <w:rFonts w:hint="eastAsia" w:eastAsia="方正楷体_GBK"/>
          <w:szCs w:val="32"/>
        </w:rPr>
        <w:t>附件2</w:t>
      </w:r>
      <w:r>
        <w:rPr>
          <w:rFonts w:eastAsia="方正楷体_GBK"/>
          <w:szCs w:val="32"/>
        </w:rPr>
        <w:t xml:space="preserve">  </w:t>
      </w:r>
      <w:r>
        <w:rPr>
          <w:rFonts w:hint="eastAsia" w:eastAsia="方正楷体_GBK"/>
          <w:szCs w:val="32"/>
        </w:rPr>
        <w:t>土地承载力计算方法说明</w:t>
      </w:r>
      <w:bookmarkEnd w:id="42"/>
    </w:p>
    <w:p>
      <w:pPr>
        <w:ind w:firstLine="632"/>
        <w:rPr>
          <w:rFonts w:cs="Times New Roman"/>
        </w:rPr>
      </w:pPr>
      <w:r>
        <w:rPr>
          <w:rFonts w:hint="eastAsia" w:cs="Times New Roman"/>
        </w:rPr>
        <w:t>1</w:t>
      </w:r>
      <w:r>
        <w:rPr>
          <w:rFonts w:cs="Times New Roman"/>
        </w:rPr>
        <w:t>.</w:t>
      </w:r>
      <w:r>
        <w:rPr>
          <w:rFonts w:hint="eastAsia" w:cs="Times New Roman"/>
        </w:rPr>
        <w:t>计算依据</w:t>
      </w:r>
    </w:p>
    <w:p>
      <w:pPr>
        <w:ind w:firstLine="632"/>
        <w:rPr>
          <w:rFonts w:cs="Times New Roman"/>
        </w:rPr>
      </w:pPr>
      <w:r>
        <w:rPr>
          <w:rFonts w:hint="eastAsia" w:cs="Times New Roman"/>
        </w:rPr>
        <w:t>根据《畜禽粪污土地承载能力测算技术指南》（农办牧〔2018〕1号）文件，畜禽粪污土地承载能力及规模养殖场配套土地测算以粪肥氮养分供给和植物氮养分需求为基础进行核算，对于设施蔬菜等作物为主或者土壤本底值磷含量较高的特殊区域或农用地，可选择以磷为基础进行测算。畜禽粪肥养分需求量根据土地肥力、作物类型和产量、粪肥施用比例等确定。畜禽粪肥养分供给量根据畜禽养殖量、粪污产生量、粪污收集处理方式等确定。</w:t>
      </w:r>
    </w:p>
    <w:p>
      <w:pPr>
        <w:ind w:firstLine="632"/>
        <w:rPr>
          <w:rFonts w:cs="Times New Roman"/>
        </w:rPr>
      </w:pPr>
      <w:r>
        <w:rPr>
          <w:rFonts w:hint="eastAsia" w:cs="Times New Roman"/>
        </w:rPr>
        <w:t>2</w:t>
      </w:r>
      <w:r>
        <w:rPr>
          <w:rFonts w:cs="Times New Roman"/>
        </w:rPr>
        <w:t>.</w:t>
      </w:r>
      <w:r>
        <w:rPr>
          <w:rFonts w:hint="eastAsia" w:cs="Times New Roman"/>
        </w:rPr>
        <w:t>测算方法</w:t>
      </w:r>
    </w:p>
    <w:p>
      <w:pPr>
        <w:ind w:firstLine="632"/>
        <w:rPr>
          <w:rFonts w:cs="Times New Roman"/>
        </w:rPr>
      </w:pPr>
      <w:r>
        <w:rPr>
          <w:rFonts w:hint="eastAsia" w:cs="Times New Roman"/>
        </w:rPr>
        <w:t>区域畜禽粪污土地承载力等于区域植物粪肥养分需求量除以单位猪当量粪肥养分供给量（以存栏猪当量计）。</w:t>
      </w:r>
    </w:p>
    <w:p>
      <w:pPr>
        <w:ind w:firstLine="632"/>
        <w:rPr>
          <w:rFonts w:cs="Times New Roman"/>
        </w:rPr>
      </w:pPr>
      <w:r>
        <w:rPr>
          <w:rFonts w:cs="Times New Roman"/>
        </w:rPr>
        <w:t>3.</w:t>
      </w:r>
      <w:r>
        <w:rPr>
          <w:rFonts w:hint="eastAsia" w:cs="Times New Roman"/>
        </w:rPr>
        <w:t>区域植物养分需求量</w:t>
      </w:r>
    </w:p>
    <w:p>
      <w:pPr>
        <w:ind w:firstLine="632"/>
        <w:rPr>
          <w:rFonts w:cs="Times New Roman"/>
        </w:rPr>
      </w:pPr>
      <w:r>
        <w:rPr>
          <w:rFonts w:hint="eastAsia" w:cs="Times New Roman"/>
        </w:rPr>
        <w:t>根据区域内各类植物（包括作物、人工牧草、人工林地等）的氮（磷）养分需求量测算，计算方法如下：</w:t>
      </w:r>
    </w:p>
    <w:p>
      <w:pPr>
        <w:ind w:firstLine="552"/>
        <w:jc w:val="left"/>
        <w:rPr>
          <w:rFonts w:ascii="方正楷体_GBK" w:eastAsia="方正楷体_GBK" w:cs="Times New Roman"/>
          <w:iCs/>
          <w:sz w:val="28"/>
          <w:szCs w:val="28"/>
        </w:rPr>
      </w:pPr>
      <w:r>
        <w:rPr>
          <w:rFonts w:ascii="方正楷体_GBK" w:eastAsia="方正楷体_GBK" w:cs="Times New Roman"/>
          <w:i/>
          <w:iCs/>
          <w:sz w:val="28"/>
          <w:szCs w:val="28"/>
        </w:rPr>
        <w:t>A</w:t>
      </w:r>
      <w:r>
        <w:rPr>
          <w:rFonts w:ascii="方正楷体_GBK" w:eastAsia="方正楷体_GBK" w:cs="Times New Roman"/>
          <w:i/>
          <w:iCs/>
          <w:sz w:val="28"/>
          <w:szCs w:val="28"/>
          <w:vertAlign w:val="subscript"/>
        </w:rPr>
        <w:t>n,i</w:t>
      </w:r>
      <w:r>
        <w:rPr>
          <w:rFonts w:ascii="方正楷体_GBK" w:eastAsia="方正楷体_GBK" w:cs="Times New Roman"/>
          <w:sz w:val="28"/>
          <w:szCs w:val="28"/>
        </w:rPr>
        <w:t>=</w:t>
      </w:r>
      <m:oMath>
        <m:nary>
          <m:naryPr>
            <m:chr m:val="∑"/>
            <m:grow m:val="1"/>
            <m:subHide m:val="1"/>
            <m:supHide m:val="1"/>
            <m:ctrlPr>
              <w:rPr>
                <w:rFonts w:ascii="Cambria Math" w:hAnsi="Cambria Math" w:eastAsia="方正楷体_GBK" w:cs="Times New Roman"/>
                <w:iCs/>
                <w:sz w:val="28"/>
                <w:szCs w:val="28"/>
              </w:rPr>
            </m:ctrlPr>
          </m:naryPr>
          <m:sub>
            <m:ctrlPr>
              <w:rPr>
                <w:rFonts w:ascii="Cambria Math" w:hAnsi="Cambria Math" w:eastAsia="方正楷体_GBK" w:cs="Times New Roman"/>
                <w:iCs/>
                <w:sz w:val="28"/>
                <w:szCs w:val="28"/>
              </w:rPr>
            </m:ctrlPr>
          </m:sub>
          <m:sup>
            <m:ctrlPr>
              <w:rPr>
                <w:rFonts w:ascii="Cambria Math" w:hAnsi="Cambria Math" w:eastAsia="方正楷体_GBK" w:cs="Times New Roman"/>
                <w:iCs/>
                <w:sz w:val="28"/>
                <w:szCs w:val="28"/>
              </w:rPr>
            </m:ctrlPr>
          </m:sup>
          <m:e>
            <m:d>
              <m:dPr>
                <m:ctrlPr>
                  <w:rPr>
                    <w:rFonts w:ascii="Cambria Math" w:hAnsi="Cambria Math" w:eastAsia="方正楷体_GBK" w:cs="Times New Roman"/>
                    <w:iCs/>
                    <w:sz w:val="28"/>
                    <w:szCs w:val="28"/>
                  </w:rPr>
                </m:ctrlPr>
              </m:dPr>
              <m:e>
                <m:r>
                  <m:rPr>
                    <m:sty m:val="p"/>
                  </m:rPr>
                  <w:rPr>
                    <w:rFonts w:hint="eastAsia" w:ascii="Cambria Math" w:hAnsi="Cambria Math" w:eastAsia="方正楷体_GBK" w:cs="Times New Roman"/>
                    <w:sz w:val="28"/>
                    <w:szCs w:val="28"/>
                  </w:rPr>
                  <m:t>每种植物总产量</m:t>
                </m:r>
                <m:d>
                  <m:dPr>
                    <m:begChr m:val="（"/>
                    <m:endChr m:val="）"/>
                    <m:ctrlPr>
                      <w:rPr>
                        <w:rFonts w:ascii="Cambria Math" w:hAnsi="Cambria Math" w:eastAsia="方正楷体_GBK" w:cs="Times New Roman"/>
                        <w:iCs/>
                        <w:sz w:val="28"/>
                        <w:szCs w:val="28"/>
                      </w:rPr>
                    </m:ctrlPr>
                  </m:dPr>
                  <m:e>
                    <m:r>
                      <m:rPr>
                        <m:sty m:val="p"/>
                      </m:rPr>
                      <w:rPr>
                        <w:rFonts w:hint="eastAsia" w:ascii="Cambria Math" w:hAnsi="Cambria Math" w:eastAsia="方正楷体_GBK" w:cs="Times New Roman"/>
                        <w:sz w:val="28"/>
                        <w:szCs w:val="28"/>
                      </w:rPr>
                      <m:t>面积</m:t>
                    </m:r>
                    <m:ctrlPr>
                      <w:rPr>
                        <w:rFonts w:ascii="Cambria Math" w:hAnsi="Cambria Math" w:eastAsia="方正楷体_GBK" w:cs="Times New Roman"/>
                        <w:iCs/>
                        <w:sz w:val="28"/>
                        <w:szCs w:val="28"/>
                      </w:rPr>
                    </m:ctrlPr>
                  </m:e>
                </m:d>
                <m:r>
                  <m:rPr>
                    <m:sty m:val="p"/>
                  </m:rPr>
                  <w:rPr>
                    <w:rFonts w:hint="eastAsia" w:ascii="Cambria Math" w:hAnsi="Cambria Math" w:eastAsia="方正楷体_GBK" w:cs="Times New Roman"/>
                    <w:sz w:val="28"/>
                    <w:szCs w:val="28"/>
                  </w:rPr>
                  <m:t>×单位产量</m:t>
                </m:r>
                <m:d>
                  <m:dPr>
                    <m:begChr m:val="（"/>
                    <m:endChr m:val="）"/>
                    <m:ctrlPr>
                      <w:rPr>
                        <w:rFonts w:ascii="Cambria Math" w:hAnsi="Cambria Math" w:eastAsia="方正楷体_GBK" w:cs="Times New Roman"/>
                        <w:iCs/>
                        <w:sz w:val="28"/>
                        <w:szCs w:val="28"/>
                      </w:rPr>
                    </m:ctrlPr>
                  </m:dPr>
                  <m:e>
                    <m:r>
                      <m:rPr>
                        <m:sty m:val="p"/>
                      </m:rPr>
                      <w:rPr>
                        <w:rFonts w:hint="eastAsia" w:ascii="Cambria Math" w:hAnsi="Cambria Math" w:eastAsia="方正楷体_GBK" w:cs="Times New Roman"/>
                        <w:sz w:val="28"/>
                        <w:szCs w:val="28"/>
                      </w:rPr>
                      <m:t>单位面积</m:t>
                    </m:r>
                    <m:ctrlPr>
                      <w:rPr>
                        <w:rFonts w:ascii="Cambria Math" w:hAnsi="Cambria Math" w:eastAsia="方正楷体_GBK" w:cs="Times New Roman"/>
                        <w:iCs/>
                        <w:sz w:val="28"/>
                        <w:szCs w:val="28"/>
                      </w:rPr>
                    </m:ctrlPr>
                  </m:e>
                </m:d>
                <m:r>
                  <m:rPr>
                    <m:sty m:val="p"/>
                  </m:rPr>
                  <w:rPr>
                    <w:rFonts w:hint="eastAsia" w:ascii="Cambria Math" w:hAnsi="Cambria Math" w:eastAsia="方正楷体_GBK" w:cs="Times New Roman"/>
                    <w:sz w:val="28"/>
                    <w:szCs w:val="28"/>
                  </w:rPr>
                  <m:t>养分需求</m:t>
                </m:r>
                <m:ctrlPr>
                  <w:rPr>
                    <w:rFonts w:ascii="Cambria Math" w:hAnsi="Cambria Math" w:eastAsia="方正楷体_GBK" w:cs="Times New Roman"/>
                    <w:iCs/>
                    <w:sz w:val="28"/>
                    <w:szCs w:val="28"/>
                  </w:rPr>
                </m:ctrlPr>
              </m:e>
            </m:d>
            <m:ctrlPr>
              <w:rPr>
                <w:rFonts w:ascii="Cambria Math" w:hAnsi="Cambria Math" w:eastAsia="方正楷体_GBK" w:cs="Times New Roman"/>
                <w:iCs/>
                <w:sz w:val="28"/>
                <w:szCs w:val="28"/>
              </w:rPr>
            </m:ctrlPr>
          </m:e>
        </m:nary>
      </m:oMath>
    </w:p>
    <w:p>
      <w:pPr>
        <w:ind w:firstLine="632"/>
        <w:rPr>
          <w:rFonts w:cs="Times New Roman"/>
        </w:rPr>
      </w:pPr>
      <w:r>
        <w:rPr>
          <w:rFonts w:cs="Times New Roman"/>
          <w:i/>
          <w:iCs/>
        </w:rPr>
        <w:t>A</w:t>
      </w:r>
      <w:r>
        <w:rPr>
          <w:rFonts w:cs="Times New Roman"/>
          <w:i/>
          <w:iCs/>
          <w:vertAlign w:val="subscript"/>
        </w:rPr>
        <w:t>n,i</w:t>
      </w:r>
      <w:r>
        <w:rPr>
          <w:rFonts w:hint="eastAsia" w:cs="Times New Roman"/>
        </w:rPr>
        <w:t>为区域植物养分需求量。</w:t>
      </w:r>
    </w:p>
    <w:p>
      <w:pPr>
        <w:ind w:firstLine="632"/>
        <w:rPr>
          <w:rFonts w:cs="Times New Roman"/>
        </w:rPr>
      </w:pPr>
      <w:r>
        <w:rPr>
          <w:rFonts w:hint="eastAsia" w:cs="Times New Roman"/>
        </w:rPr>
        <w:t>不同植物单位产量（单位面积）适宜氮（磷）养分需求量可以通过分析该区域的土壤养分和田间试验获得。</w:t>
      </w:r>
    </w:p>
    <w:p>
      <w:pPr>
        <w:ind w:firstLine="632"/>
        <w:rPr>
          <w:rFonts w:cs="Times New Roman"/>
        </w:rPr>
      </w:pPr>
      <w:r>
        <w:rPr>
          <w:rFonts w:hint="eastAsia" w:cs="Times New Roman"/>
        </w:rPr>
        <w:t>在计算单位产量（单位面积）适宜氮（磷）养分需求量时，有效土地区域范围是一个非常重要的参数，以下几方面需要扣减消纳土地的单位产量（单位面积）：①扣减禁养区土地的单位产量（单位面积），主要分布在珞璜镇、四面山镇、白沙镇；②扣减家庭散养需要占有的土地的单位产量（单位面积）；③扣减远离养殖场的部分土地的单位产量（单位面积）。</w:t>
      </w:r>
    </w:p>
    <w:p>
      <w:pPr>
        <w:ind w:firstLine="632"/>
        <w:rPr>
          <w:rFonts w:cs="Times New Roman"/>
        </w:rPr>
      </w:pPr>
      <w:r>
        <w:rPr>
          <w:rFonts w:cs="Times New Roman"/>
        </w:rPr>
        <w:t>4.</w:t>
      </w:r>
      <w:r>
        <w:rPr>
          <w:rFonts w:hint="eastAsia" w:cs="Times New Roman"/>
        </w:rPr>
        <w:t>区域植物粪肥养分需求量</w:t>
      </w:r>
    </w:p>
    <w:p>
      <w:pPr>
        <w:ind w:firstLine="632"/>
        <w:rPr>
          <w:rFonts w:cs="Times New Roman"/>
        </w:rPr>
      </w:pPr>
      <w:r>
        <w:rPr>
          <w:rFonts w:hint="eastAsia" w:cs="Times New Roman"/>
        </w:rPr>
        <w:t>根据不同土壤肥力下，区域内植物氮（磷）总养分需求量中需要施肥的比例、粪肥占施肥比例和粪肥当季利用效率测算，计算方法如下：</w:t>
      </w:r>
    </w:p>
    <w:p>
      <w:pPr>
        <w:ind w:firstLine="632"/>
        <w:jc w:val="center"/>
        <w:rPr>
          <w:rFonts w:ascii="方正楷体_GBK" w:eastAsia="方正楷体_GBK" w:cs="Times New Roman"/>
          <w:szCs w:val="32"/>
        </w:rPr>
      </w:pPr>
      <w:r>
        <w:rPr>
          <w:rFonts w:ascii="方正楷体_GBK" w:eastAsia="方正楷体_GBK" w:cs="Times New Roman"/>
          <w:i/>
          <w:iCs/>
          <w:szCs w:val="32"/>
        </w:rPr>
        <w:t>NU</w:t>
      </w:r>
      <w:r>
        <w:rPr>
          <w:rFonts w:ascii="方正楷体_GBK" w:eastAsia="方正楷体_GBK" w:cs="Times New Roman"/>
          <w:i/>
          <w:iCs/>
          <w:szCs w:val="32"/>
          <w:vertAlign w:val="subscript"/>
        </w:rPr>
        <w:t>r.m</w:t>
      </w:r>
      <w:r>
        <w:rPr>
          <w:rFonts w:ascii="方正楷体_GBK" w:eastAsia="方正楷体_GBK" w:cs="Times New Roman"/>
          <w:szCs w:val="32"/>
        </w:rPr>
        <w:t>=</w:t>
      </w:r>
      <m:oMath>
        <m:f>
          <m:fPr>
            <m:ctrlPr>
              <w:rPr>
                <w:rFonts w:ascii="Cambria Math" w:hAnsi="Cambria Math" w:eastAsia="Cambria Math" w:cs="Times New Roman"/>
                <w:szCs w:val="32"/>
              </w:rPr>
            </m:ctrlPr>
          </m:fPr>
          <m:num>
            <m:r>
              <m:rPr>
                <m:sty m:val="p"/>
              </m:rPr>
              <w:rPr>
                <w:rFonts w:hint="eastAsia" w:ascii="Cambria Math" w:hAnsi="Cambria Math" w:eastAsia="方正楷体_GBK" w:cs="Times New Roman"/>
                <w:szCs w:val="32"/>
              </w:rPr>
              <m:t>区域</m:t>
            </m:r>
            <m:r>
              <m:rPr>
                <m:sty m:val="p"/>
              </m:rPr>
              <w:rPr>
                <w:rFonts w:hint="eastAsia" w:ascii="Cambria Math" w:eastAsia="方正楷体_GBK" w:cs="Times New Roman"/>
                <w:szCs w:val="32"/>
              </w:rPr>
              <m:t>植物养分需求量×施肥供给养分占比×粪肥占施</m:t>
            </m:r>
            <m:ctrlPr>
              <w:rPr>
                <w:rFonts w:ascii="Cambria Math" w:hAnsi="Cambria Math" w:eastAsia="Cambria Math" w:cs="Times New Roman"/>
                <w:szCs w:val="32"/>
              </w:rPr>
            </m:ctrlPr>
          </m:num>
          <m:den>
            <m:r>
              <m:rPr>
                <m:sty m:val="p"/>
              </m:rPr>
              <w:rPr>
                <w:rFonts w:hint="eastAsia" w:ascii="Cambria Math" w:hAnsi="Cambria Math" w:eastAsia="方正楷体_GBK" w:cs="Times New Roman"/>
                <w:szCs w:val="32"/>
              </w:rPr>
              <m:t>粪肥</m:t>
            </m:r>
            <m:r>
              <m:rPr>
                <m:sty m:val="p"/>
              </m:rPr>
              <w:rPr>
                <w:rFonts w:hint="eastAsia" w:ascii="Cambria Math" w:eastAsia="方正楷体_GBK" w:cs="Times New Roman"/>
                <w:szCs w:val="32"/>
              </w:rPr>
              <m:t>当季利用率</m:t>
            </m:r>
            <m:ctrlPr>
              <w:rPr>
                <w:rFonts w:ascii="Cambria Math" w:hAnsi="Cambria Math" w:eastAsia="Cambria Math" w:cs="Times New Roman"/>
                <w:szCs w:val="32"/>
              </w:rPr>
            </m:ctrlPr>
          </m:den>
        </m:f>
      </m:oMath>
    </w:p>
    <w:p>
      <w:pPr>
        <w:ind w:firstLine="632"/>
        <w:rPr>
          <w:rFonts w:cs="Times New Roman"/>
        </w:rPr>
      </w:pPr>
      <w:r>
        <w:rPr>
          <w:rFonts w:cs="Times New Roman"/>
          <w:i/>
          <w:iCs/>
        </w:rPr>
        <w:t>NU</w:t>
      </w:r>
      <w:r>
        <w:rPr>
          <w:rFonts w:cs="Times New Roman"/>
          <w:i/>
          <w:iCs/>
          <w:vertAlign w:val="subscript"/>
        </w:rPr>
        <w:t>r</w:t>
      </w:r>
      <w:r>
        <w:rPr>
          <w:rFonts w:hint="eastAsia" w:cs="Times New Roman"/>
          <w:i/>
          <w:iCs/>
          <w:vertAlign w:val="subscript"/>
        </w:rPr>
        <w:t>,</w:t>
      </w:r>
      <w:r>
        <w:rPr>
          <w:rFonts w:cs="Times New Roman"/>
          <w:i/>
          <w:iCs/>
          <w:vertAlign w:val="subscript"/>
        </w:rPr>
        <w:t>m</w:t>
      </w:r>
      <w:r>
        <w:rPr>
          <w:rFonts w:hint="eastAsia" w:cs="Times New Roman"/>
        </w:rPr>
        <w:t>为区域植物粪肥养分需求量。</w:t>
      </w:r>
    </w:p>
    <w:p>
      <w:pPr>
        <w:ind w:firstLine="632"/>
        <w:rPr>
          <w:rFonts w:cs="Times New Roman"/>
        </w:rPr>
      </w:pPr>
      <w:r>
        <w:rPr>
          <w:rFonts w:hint="eastAsia" w:cs="Times New Roman"/>
        </w:rPr>
        <w:t>氮（磷）施肥供给养分占比根据土壤氮（磷）养分确定。根据《畜禽粪污土地承载力测算技术指南》附表1、2，氮（磷）施肥供给养分占比参考II级推荐值45%，粪肥占施肥比例取值50%，粪肥中氮素当季利用率取值范围推荐值为25%，磷素当季利用率取值范围推荐值为30%。</w:t>
      </w:r>
    </w:p>
    <w:p>
      <w:pPr>
        <w:ind w:firstLine="632"/>
        <w:rPr>
          <w:rFonts w:cs="Times New Roman"/>
        </w:rPr>
      </w:pPr>
      <w:r>
        <w:rPr>
          <w:rFonts w:cs="Times New Roman"/>
        </w:rPr>
        <w:t>5.</w:t>
      </w:r>
      <w:r>
        <w:rPr>
          <w:rFonts w:hint="eastAsia" w:cs="Times New Roman"/>
        </w:rPr>
        <w:t>区域畜禽粪污土地承载力</w:t>
      </w:r>
    </w:p>
    <w:p>
      <w:pPr>
        <w:ind w:firstLine="632"/>
        <w:rPr>
          <w:rFonts w:cs="Times New Roman"/>
        </w:rPr>
      </w:pPr>
      <w:r>
        <w:rPr>
          <w:rFonts w:hint="eastAsia" w:cs="Times New Roman"/>
        </w:rPr>
        <w:t>根据《畜禽粪污土地承载能力测算技术指南》（农办牧〔2018〕1号）文件，综合考虑畜禽粪污养分在收集、处理和贮存过程中的损失，单位猪当量氮养分供给量为7.0千克，磷养分供给量为1.2千克。</w:t>
      </w:r>
    </w:p>
    <w:p>
      <w:pPr>
        <w:ind w:firstLine="632"/>
        <w:rPr>
          <w:rFonts w:cs="Times New Roman"/>
        </w:rPr>
      </w:pPr>
      <w:r>
        <w:rPr>
          <w:rFonts w:hint="eastAsia" w:cs="Times New Roman"/>
        </w:rPr>
        <w:t>区域畜禽粪污土地承载力等于区域植物总的粪肥养分需求量除以单位猪当量粪肥养分供给量，计算得到区域理论最大养殖量（以猪当量计），计算公式如下：</w:t>
      </w:r>
    </w:p>
    <w:p>
      <w:pPr>
        <w:ind w:firstLine="632"/>
        <w:jc w:val="center"/>
        <w:rPr>
          <w:rFonts w:cs="Times New Roman"/>
          <w:i/>
          <w:iCs/>
        </w:rPr>
      </w:pPr>
      <w:r>
        <w:rPr>
          <w:rFonts w:cs="Times New Roman"/>
          <w:i/>
          <w:iCs/>
        </w:rPr>
        <w:t>R</w:t>
      </w:r>
      <w:r>
        <w:rPr>
          <w:rFonts w:cs="Times New Roman"/>
        </w:rPr>
        <w:t xml:space="preserve">= </w:t>
      </w:r>
      <w:r>
        <w:rPr>
          <w:rFonts w:cs="Times New Roman"/>
          <w:i/>
          <w:iCs/>
        </w:rPr>
        <w:t>NU</w:t>
      </w:r>
      <w:r>
        <w:rPr>
          <w:rFonts w:cs="Times New Roman"/>
          <w:i/>
          <w:iCs/>
          <w:vertAlign w:val="subscript"/>
        </w:rPr>
        <w:t>r,m</w:t>
      </w:r>
      <w:r>
        <w:rPr>
          <w:rFonts w:cs="Times New Roman"/>
          <w:i/>
          <w:iCs/>
        </w:rPr>
        <w:t>/ NS</w:t>
      </w:r>
      <w:r>
        <w:rPr>
          <w:rFonts w:cs="Times New Roman"/>
          <w:i/>
          <w:iCs/>
          <w:vertAlign w:val="subscript"/>
        </w:rPr>
        <w:t>r,a</w:t>
      </w:r>
    </w:p>
    <w:p>
      <w:pPr>
        <w:ind w:firstLine="632"/>
        <w:rPr>
          <w:rFonts w:cs="Times New Roman"/>
        </w:rPr>
      </w:pPr>
      <w:r>
        <w:rPr>
          <w:rFonts w:hint="eastAsia" w:cs="Times New Roman"/>
        </w:rPr>
        <w:t>NU</w:t>
      </w:r>
      <w:r>
        <w:rPr>
          <w:rFonts w:cs="Times New Roman"/>
          <w:i/>
          <w:iCs/>
          <w:vertAlign w:val="subscript"/>
        </w:rPr>
        <w:t>r,m</w:t>
      </w:r>
      <w:r>
        <w:rPr>
          <w:rFonts w:hint="eastAsia" w:cs="Times New Roman"/>
        </w:rPr>
        <w:t>-区域内植物粪肥养分需求量，千克/年；</w:t>
      </w:r>
    </w:p>
    <w:p>
      <w:pPr>
        <w:ind w:firstLine="632"/>
        <w:rPr>
          <w:rFonts w:cs="Times New Roman"/>
        </w:rPr>
      </w:pPr>
      <w:r>
        <w:rPr>
          <w:rFonts w:cs="Times New Roman"/>
        </w:rPr>
        <w:t>NS</w:t>
      </w:r>
      <w:r>
        <w:rPr>
          <w:rFonts w:cs="Times New Roman"/>
          <w:i/>
          <w:iCs/>
          <w:vertAlign w:val="subscript"/>
        </w:rPr>
        <w:t>r,a</w:t>
      </w:r>
      <w:r>
        <w:rPr>
          <w:rFonts w:cs="Times New Roman"/>
        </w:rPr>
        <w:t xml:space="preserve"> -</w:t>
      </w:r>
      <w:r>
        <w:rPr>
          <w:rFonts w:hint="eastAsia" w:cs="Times New Roman"/>
        </w:rPr>
        <w:t>猪当量粪肥养分供给量，千克</w:t>
      </w:r>
      <w:r>
        <w:rPr>
          <w:rFonts w:cs="Times New Roman"/>
        </w:rPr>
        <w:t>/</w:t>
      </w:r>
      <w:r>
        <w:rPr>
          <w:rFonts w:hint="eastAsia" w:cs="Times New Roman"/>
        </w:rPr>
        <w:t>（猪当量</w:t>
      </w:r>
      <w:r>
        <w:rPr>
          <w:rFonts w:hint="cs" w:cs="Times New Roman"/>
        </w:rPr>
        <w:t>•</w:t>
      </w:r>
      <w:r>
        <w:rPr>
          <w:rFonts w:hint="eastAsia" w:cs="Times New Roman"/>
        </w:rPr>
        <w:t>年）</w:t>
      </w:r>
    </w:p>
    <w:p>
      <w:pPr>
        <w:ind w:firstLine="632"/>
      </w:pPr>
    </w:p>
    <w:p>
      <w:pPr>
        <w:ind w:firstLine="632"/>
      </w:pPr>
    </w:p>
    <w:p>
      <w:pPr>
        <w:ind w:firstLine="632"/>
        <w:sectPr>
          <w:pgSz w:w="11906" w:h="16838"/>
          <w:pgMar w:top="2098" w:right="1474" w:bottom="1985" w:left="1588" w:header="851" w:footer="992" w:gutter="0"/>
          <w:cols w:space="425" w:num="1"/>
          <w:docGrid w:type="linesAndChars" w:linePitch="579" w:charSpace="-849"/>
        </w:sectPr>
      </w:pPr>
    </w:p>
    <w:p>
      <w:pPr>
        <w:spacing w:after="115" w:afterLines="20" w:line="560" w:lineRule="exact"/>
        <w:ind w:firstLine="632"/>
        <w:jc w:val="left"/>
        <w:outlineLvl w:val="0"/>
        <w:rPr>
          <w:rFonts w:eastAsia="方正黑体_GBK" w:cs="Times New Roman"/>
          <w:szCs w:val="32"/>
        </w:rPr>
      </w:pPr>
      <w:bookmarkStart w:id="43" w:name="_Toc79167009"/>
      <w:r>
        <w:rPr>
          <w:rFonts w:hint="eastAsia" w:eastAsia="方正黑体_GBK" w:cs="Times New Roman"/>
          <w:szCs w:val="32"/>
        </w:rPr>
        <w:t>附表</w:t>
      </w:r>
      <w:bookmarkEnd w:id="43"/>
    </w:p>
    <w:p>
      <w:pPr>
        <w:ind w:firstLine="632"/>
        <w:outlineLvl w:val="1"/>
        <w:rPr>
          <w:rFonts w:eastAsia="方正楷体_GBK"/>
          <w:szCs w:val="32"/>
        </w:rPr>
      </w:pPr>
      <w:bookmarkStart w:id="44" w:name="_Toc79167010"/>
      <w:r>
        <w:rPr>
          <w:rFonts w:hint="eastAsia" w:eastAsia="方正楷体_GBK"/>
          <w:szCs w:val="32"/>
        </w:rPr>
        <w:t>附表</w:t>
      </w:r>
      <w:r>
        <w:rPr>
          <w:rFonts w:eastAsia="方正楷体_GBK"/>
          <w:szCs w:val="32"/>
        </w:rPr>
        <w:t xml:space="preserve">1  </w:t>
      </w:r>
      <w:r>
        <w:rPr>
          <w:rFonts w:hint="eastAsia" w:eastAsia="方正楷体_GBK"/>
          <w:szCs w:val="32"/>
        </w:rPr>
        <w:t>江津区畜禽养殖污染防治规划主要任务明细表</w:t>
      </w:r>
      <w:bookmarkEnd w:id="44"/>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360"/>
        <w:gridCol w:w="10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62" w:type="dxa"/>
            <w:shd w:val="clear" w:color="auto" w:fill="auto"/>
            <w:noWrap/>
            <w:vAlign w:val="center"/>
          </w:tcPr>
          <w:p>
            <w:pPr>
              <w:widowControl/>
              <w:ind w:firstLine="0" w:firstLineChars="0"/>
              <w:jc w:val="center"/>
              <w:rPr>
                <w:rFonts w:eastAsia="方正黑体_GBK" w:cs="Times New Roman"/>
                <w:color w:val="000000"/>
                <w:kern w:val="0"/>
                <w:sz w:val="24"/>
                <w:szCs w:val="24"/>
              </w:rPr>
            </w:pPr>
            <w:r>
              <w:rPr>
                <w:rFonts w:hint="eastAsia" w:eastAsia="方正黑体_GBK" w:cs="Times New Roman"/>
                <w:color w:val="000000"/>
                <w:kern w:val="0"/>
                <w:sz w:val="24"/>
                <w:szCs w:val="24"/>
              </w:rPr>
              <w:t>序号</w:t>
            </w:r>
          </w:p>
        </w:tc>
        <w:tc>
          <w:tcPr>
            <w:tcW w:w="1360" w:type="dxa"/>
            <w:shd w:val="clear" w:color="auto" w:fill="auto"/>
            <w:noWrap/>
            <w:vAlign w:val="center"/>
          </w:tcPr>
          <w:p>
            <w:pPr>
              <w:widowControl/>
              <w:ind w:firstLine="0" w:firstLineChars="0"/>
              <w:jc w:val="center"/>
              <w:rPr>
                <w:rFonts w:eastAsia="方正黑体_GBK" w:cs="Times New Roman"/>
                <w:color w:val="000000"/>
                <w:kern w:val="0"/>
                <w:sz w:val="24"/>
                <w:szCs w:val="24"/>
              </w:rPr>
            </w:pPr>
            <w:r>
              <w:rPr>
                <w:rFonts w:hint="eastAsia" w:eastAsia="方正黑体_GBK" w:cs="Times New Roman"/>
                <w:color w:val="000000"/>
                <w:kern w:val="0"/>
                <w:sz w:val="24"/>
                <w:szCs w:val="24"/>
              </w:rPr>
              <w:t>项目</w:t>
            </w:r>
          </w:p>
        </w:tc>
        <w:tc>
          <w:tcPr>
            <w:tcW w:w="10823" w:type="dxa"/>
            <w:shd w:val="clear" w:color="auto" w:fill="auto"/>
            <w:noWrap/>
            <w:vAlign w:val="center"/>
          </w:tcPr>
          <w:p>
            <w:pPr>
              <w:widowControl/>
              <w:ind w:firstLine="0" w:firstLineChars="0"/>
              <w:jc w:val="center"/>
              <w:rPr>
                <w:rFonts w:eastAsia="方正黑体_GBK" w:cs="Times New Roman"/>
                <w:color w:val="000000"/>
                <w:kern w:val="0"/>
                <w:sz w:val="24"/>
                <w:szCs w:val="24"/>
              </w:rPr>
            </w:pPr>
            <w:r>
              <w:rPr>
                <w:rFonts w:hint="eastAsia" w:eastAsia="方正黑体_GBK" w:cs="Times New Roman"/>
                <w:color w:val="000000"/>
                <w:kern w:val="0"/>
                <w:sz w:val="24"/>
                <w:szCs w:val="24"/>
              </w:rPr>
              <w:t>具体任务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w:t>
            </w:r>
          </w:p>
        </w:tc>
        <w:tc>
          <w:tcPr>
            <w:tcW w:w="1360" w:type="dxa"/>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畜禽养殖环境影响评价</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督促全区未办理环评手续且可以办理的畜禽养殖场办理相关手续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w:t>
            </w:r>
          </w:p>
        </w:tc>
        <w:tc>
          <w:tcPr>
            <w:tcW w:w="1360" w:type="dxa"/>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畜禽养殖分区管理</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根据畜禽养殖场三区划分结果、环境管理要求，实施相应的管控措施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3</w:t>
            </w:r>
          </w:p>
        </w:tc>
        <w:tc>
          <w:tcPr>
            <w:tcW w:w="1360" w:type="dxa"/>
            <w:vMerge w:val="restart"/>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推广种养结合模式</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建设一批种养循环示范基地，积极参与创建畜牧业绿色发展示范区建设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4</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建设区域畜禽粪便收集处理站，收集、贮存和堆肥处理10公里范围内中小规模养殖场或散养密集区内畜禽粪便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5</w:t>
            </w:r>
          </w:p>
        </w:tc>
        <w:tc>
          <w:tcPr>
            <w:tcW w:w="1360" w:type="dxa"/>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优化畜禽养殖空间布局</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以德感街道、几江街道等畜禽养殖量超过土地承载能力、土地承载能力负荷率过高的镇街为重点，引导其区域规模化养殖场畜禽养殖场向环境容量大的区域特别是粮食主产区和果菜茶优势区域或者四屏镇、永兴镇等适养区畜禽粪污土地承载力剩余容量较大的区域进行适当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6</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畜禽养殖污染治理</w:t>
            </w:r>
          </w:p>
          <w:p>
            <w:pPr>
              <w:ind w:firstLine="472"/>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加快规模化畜禽养殖场节水节料、环境控制等设施装备升级，高标准建设粪污利用设施，推广畜禽养殖自动化装备、智能化监控，积极创建生产全程机械化示范养殖场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7</w:t>
            </w:r>
          </w:p>
        </w:tc>
        <w:tc>
          <w:tcPr>
            <w:tcW w:w="1360" w:type="dxa"/>
            <w:vMerge w:val="continue"/>
            <w:vAlign w:val="center"/>
          </w:tcPr>
          <w:p>
            <w:pPr>
              <w:ind w:firstLine="472"/>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支持集约化畜禽养殖场以及养殖专业户配套建设粪污利用设施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8</w:t>
            </w:r>
          </w:p>
        </w:tc>
        <w:tc>
          <w:tcPr>
            <w:tcW w:w="1360" w:type="dxa"/>
            <w:vMerge w:val="continue"/>
            <w:vAlign w:val="center"/>
          </w:tcPr>
          <w:p>
            <w:pPr>
              <w:ind w:firstLine="472"/>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畜禽养殖散户养殖必须按照要求配备沉淀池、三级化粪池等设施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9</w:t>
            </w:r>
          </w:p>
        </w:tc>
        <w:tc>
          <w:tcPr>
            <w:tcW w:w="1360" w:type="dxa"/>
            <w:vMerge w:val="continue"/>
            <w:shd w:val="clear" w:color="auto" w:fill="auto"/>
            <w:noWrap/>
            <w:vAlign w:val="center"/>
          </w:tcPr>
          <w:p>
            <w:pPr>
              <w:widowControl/>
              <w:ind w:firstLine="0" w:firstLineChars="0"/>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积极推动设施的专业化运营管理，针对养殖散户，重点推进第三方服务机构和养殖企业对养殖户的粪污处置进行指导和服务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10</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畜禽养殖温室气体与氨气防控</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编制畜禽养殖温室气体排放清单，开展低碳畜禽养殖试点示范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11</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强化畜禽养殖场日常管理，增加畜禽舍清理次数，及时清理畜禽排泄物和料槽周围洒出的饲料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12</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屠宰场污染治理</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定期开展专项整治，加强对废水处理设施运维管理，落实排污单位自行监测工作，定期开展废水排放监测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13</w:t>
            </w:r>
          </w:p>
        </w:tc>
        <w:tc>
          <w:tcPr>
            <w:tcW w:w="1360" w:type="dxa"/>
            <w:vMerge w:val="continue"/>
            <w:shd w:val="clear" w:color="auto" w:fill="auto"/>
            <w:noWrap/>
            <w:vAlign w:val="center"/>
          </w:tcPr>
          <w:p>
            <w:pPr>
              <w:widowControl/>
              <w:ind w:firstLine="0" w:firstLineChars="0"/>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加强屠宰场臭气污染防治，督促企业采用化学除臭剂、生物除臭技术、物理吸附等方式进行除臭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14</w:t>
            </w:r>
          </w:p>
        </w:tc>
        <w:tc>
          <w:tcPr>
            <w:tcW w:w="1360" w:type="dxa"/>
            <w:vMerge w:val="continue"/>
            <w:shd w:val="clear" w:color="auto" w:fill="auto"/>
            <w:noWrap/>
            <w:vAlign w:val="center"/>
          </w:tcPr>
          <w:p>
            <w:pPr>
              <w:widowControl/>
              <w:ind w:firstLine="0" w:firstLineChars="0"/>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积极开展标准化生猪屠宰场创建工作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15</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畜禽养殖废弃物循环化利用</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推动建立江津区有机废弃物资源生态沃土中心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16</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新建</w:t>
            </w:r>
            <w:r>
              <w:rPr>
                <w:rFonts w:cs="Times New Roman"/>
                <w:color w:val="000000"/>
                <w:kern w:val="0"/>
                <w:sz w:val="24"/>
                <w:szCs w:val="24"/>
              </w:rPr>
              <w:t>1</w:t>
            </w:r>
            <w:r>
              <w:rPr>
                <w:rFonts w:hint="eastAsia" w:cs="Times New Roman"/>
                <w:color w:val="000000"/>
                <w:kern w:val="0"/>
                <w:sz w:val="24"/>
                <w:szCs w:val="24"/>
              </w:rPr>
              <w:t>个年加工量</w:t>
            </w:r>
            <w:r>
              <w:rPr>
                <w:rFonts w:cs="Times New Roman"/>
                <w:color w:val="000000"/>
                <w:kern w:val="0"/>
                <w:sz w:val="24"/>
                <w:szCs w:val="24"/>
              </w:rPr>
              <w:t>5</w:t>
            </w:r>
            <w:r>
              <w:rPr>
                <w:rFonts w:hint="eastAsia" w:cs="Times New Roman"/>
                <w:color w:val="000000"/>
                <w:kern w:val="0"/>
                <w:sz w:val="24"/>
                <w:szCs w:val="24"/>
              </w:rPr>
              <w:t>万吨的有机肥加工厂，引导大中型规模养殖场配套建设有机肥车间。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17</w:t>
            </w:r>
          </w:p>
        </w:tc>
        <w:tc>
          <w:tcPr>
            <w:tcW w:w="1360" w:type="dxa"/>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畜禽养殖（含有机肥厂）臭气防控</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加强恶臭气体净化处理并覆盖所有恶臭发生源，排放的气体应符合国家或地方恶臭污染物排放标准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18</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提高畜禽养殖防疫水平</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加强养殖场、屠宰场等单位动物防疫硬件配套，全面推进区级兽医实验室硬件建设，加快刁家动物卫生监督检查站建设，进一步加强洗消中心建设，完善动物防疫基础设施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19</w:t>
            </w:r>
          </w:p>
        </w:tc>
        <w:tc>
          <w:tcPr>
            <w:tcW w:w="1360" w:type="dxa"/>
            <w:vMerge w:val="continue"/>
            <w:shd w:val="clear" w:color="auto" w:fill="auto"/>
            <w:noWrap/>
            <w:vAlign w:val="center"/>
          </w:tcPr>
          <w:p>
            <w:pPr>
              <w:widowControl/>
              <w:ind w:firstLine="0" w:firstLineChars="0"/>
              <w:jc w:val="center"/>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支持引导区内规模场开展“动物疫病净化示范场”“动物疫病净化创建场”示范创建和有条件的镇街和规模养殖场创建非洲猪瘟无疫小区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20</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病死畜禽无害化处置</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完善畜禽死亡报告、定点收集、核实登记等制度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21</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大力推进支坪病害死畜禽无害化处理中心、镇街病死畜禽收贮点建设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22</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启动全区病害死畜禽无害化收储点运行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23</w:t>
            </w:r>
          </w:p>
        </w:tc>
        <w:tc>
          <w:tcPr>
            <w:tcW w:w="1360" w:type="dxa"/>
            <w:vMerge w:val="restart"/>
            <w:shd w:val="clear" w:color="auto" w:fill="auto"/>
            <w:noWrap/>
            <w:vAlign w:val="center"/>
          </w:tcPr>
          <w:p>
            <w:pPr>
              <w:widowControl/>
              <w:ind w:firstLine="0" w:firstLineChars="0"/>
              <w:jc w:val="center"/>
              <w:rPr>
                <w:rFonts w:cs="Times New Roman"/>
                <w:color w:val="000000"/>
                <w:kern w:val="0"/>
                <w:sz w:val="24"/>
                <w:szCs w:val="24"/>
              </w:rPr>
            </w:pPr>
            <w:r>
              <w:rPr>
                <w:rFonts w:hint="eastAsia" w:cs="Times New Roman"/>
                <w:color w:val="000000"/>
                <w:kern w:val="0"/>
                <w:sz w:val="24"/>
                <w:szCs w:val="24"/>
              </w:rPr>
              <w:t>环境监测监管和能力建设</w:t>
            </w: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着力推进区、乡镇（街道）、村（社区）、组四级畜禽养殖网格化管理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24</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建立无害化处理监管信息系统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25</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推进畜牧养殖档案和监管工作电子化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26</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畜禽养殖场逐步推广自动喂料、排泄物机械化清运与综合利用、养殖环境智能控制等先进设施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62" w:type="dxa"/>
            <w:shd w:val="clear" w:color="auto" w:fill="auto"/>
            <w:noWrap/>
            <w:vAlign w:val="center"/>
          </w:tcPr>
          <w:p>
            <w:pPr>
              <w:widowControl/>
              <w:ind w:firstLine="0" w:firstLineChars="0"/>
              <w:jc w:val="center"/>
              <w:rPr>
                <w:rFonts w:cs="Times New Roman"/>
                <w:color w:val="000000"/>
                <w:kern w:val="0"/>
                <w:sz w:val="24"/>
                <w:szCs w:val="24"/>
              </w:rPr>
            </w:pPr>
            <w:r>
              <w:rPr>
                <w:rFonts w:cs="Times New Roman"/>
                <w:color w:val="000000"/>
                <w:kern w:val="0"/>
                <w:sz w:val="24"/>
                <w:szCs w:val="24"/>
              </w:rPr>
              <w:t>27</w:t>
            </w:r>
          </w:p>
        </w:tc>
        <w:tc>
          <w:tcPr>
            <w:tcW w:w="1360" w:type="dxa"/>
            <w:vMerge w:val="continue"/>
            <w:vAlign w:val="center"/>
          </w:tcPr>
          <w:p>
            <w:pPr>
              <w:widowControl/>
              <w:ind w:firstLine="0" w:firstLineChars="0"/>
              <w:jc w:val="left"/>
              <w:rPr>
                <w:rFonts w:cs="Times New Roman"/>
                <w:color w:val="000000"/>
                <w:kern w:val="0"/>
                <w:sz w:val="24"/>
                <w:szCs w:val="24"/>
              </w:rPr>
            </w:pPr>
          </w:p>
        </w:tc>
        <w:tc>
          <w:tcPr>
            <w:tcW w:w="10823" w:type="dxa"/>
            <w:shd w:val="clear" w:color="auto" w:fill="auto"/>
            <w:noWrap/>
            <w:vAlign w:val="center"/>
          </w:tcPr>
          <w:p>
            <w:pPr>
              <w:widowControl/>
              <w:ind w:firstLine="0" w:firstLineChars="0"/>
              <w:rPr>
                <w:rFonts w:cs="Times New Roman"/>
                <w:color w:val="000000"/>
                <w:kern w:val="0"/>
                <w:sz w:val="24"/>
                <w:szCs w:val="24"/>
              </w:rPr>
            </w:pPr>
            <w:r>
              <w:rPr>
                <w:rFonts w:hint="eastAsia" w:cs="Times New Roman"/>
                <w:color w:val="000000"/>
                <w:kern w:val="0"/>
                <w:sz w:val="24"/>
                <w:szCs w:val="24"/>
              </w:rPr>
              <w:t>建立无害化处理监管信息系统，配备无害化处理设施运行视频监控设备</w:t>
            </w:r>
          </w:p>
        </w:tc>
      </w:tr>
    </w:tbl>
    <w:p>
      <w:pPr>
        <w:ind w:left="0" w:leftChars="0" w:firstLine="0" w:firstLineChars="0"/>
        <w:outlineLvl w:val="1"/>
        <w:rPr>
          <w:rFonts w:hint="eastAsia" w:eastAsia="方正仿宋_GBK"/>
          <w:lang w:val="en-US" w:eastAsia="zh-CN"/>
        </w:rPr>
        <w:sectPr>
          <w:pgSz w:w="16838" w:h="11906" w:orient="landscape"/>
          <w:pgMar w:top="1588" w:right="2098" w:bottom="1474" w:left="1985" w:header="851" w:footer="992" w:gutter="0"/>
          <w:cols w:space="425" w:num="1"/>
          <w:docGrid w:type="linesAndChars" w:linePitch="579" w:charSpace="-849"/>
        </w:sectPr>
      </w:pPr>
      <w:r>
        <w:rPr>
          <w:rFonts w:hint="eastAsia"/>
          <w:lang w:val="en-US" w:eastAsia="zh-CN"/>
        </w:rPr>
        <w:t xml:space="preserve"> </w:t>
      </w:r>
      <w:bookmarkStart w:id="53" w:name="_GoBack"/>
      <w:bookmarkEnd w:id="53"/>
    </w:p>
    <w:p>
      <w:pPr>
        <w:spacing w:after="115" w:afterLines="20" w:line="560" w:lineRule="exact"/>
        <w:ind w:left="0" w:leftChars="0" w:firstLine="0" w:firstLineChars="0"/>
        <w:jc w:val="left"/>
        <w:outlineLvl w:val="0"/>
        <w:rPr>
          <w:rFonts w:eastAsia="方正黑体_GBK" w:cs="Times New Roman"/>
          <w:szCs w:val="32"/>
        </w:rPr>
      </w:pPr>
      <w:bookmarkStart w:id="45" w:name="_Toc79167013"/>
      <w:r>
        <w:rPr>
          <w:rFonts w:hint="eastAsia" w:eastAsia="方正黑体_GBK" w:cs="Times New Roman"/>
          <w:szCs w:val="32"/>
        </w:rPr>
        <w:t>附图</w:t>
      </w:r>
      <w:bookmarkEnd w:id="45"/>
    </w:p>
    <w:p>
      <w:pPr>
        <w:ind w:firstLine="632"/>
        <w:outlineLvl w:val="1"/>
        <w:rPr>
          <w:rFonts w:eastAsia="方正楷体_GBK"/>
          <w:szCs w:val="32"/>
        </w:rPr>
      </w:pPr>
      <w:bookmarkStart w:id="46" w:name="_Toc79167014"/>
      <w:r>
        <w:rPr>
          <w:rFonts w:hint="eastAsia" w:eastAsia="方正楷体_GBK"/>
          <w:szCs w:val="32"/>
        </w:rPr>
        <w:t>附图</w:t>
      </w:r>
      <w:r>
        <w:rPr>
          <w:rFonts w:eastAsia="方正楷体_GBK"/>
          <w:szCs w:val="32"/>
        </w:rPr>
        <w:t xml:space="preserve">1  </w:t>
      </w:r>
      <w:r>
        <w:rPr>
          <w:rFonts w:hint="eastAsia" w:eastAsia="方正楷体_GBK"/>
          <w:szCs w:val="32"/>
        </w:rPr>
        <w:t>江津区行政区划图</w:t>
      </w:r>
      <w:bookmarkEnd w:id="46"/>
    </w:p>
    <w:p>
      <w:pPr>
        <w:ind w:firstLine="0" w:firstLineChars="0"/>
        <w:jc w:val="center"/>
      </w:pPr>
      <w:r>
        <w:drawing>
          <wp:inline distT="0" distB="0" distL="0" distR="0">
            <wp:extent cx="5612130" cy="6736715"/>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3380" cy="6738645"/>
                    </a:xfrm>
                    <a:prstGeom prst="rect">
                      <a:avLst/>
                    </a:prstGeom>
                    <a:noFill/>
                    <a:ln>
                      <a:noFill/>
                    </a:ln>
                  </pic:spPr>
                </pic:pic>
              </a:graphicData>
            </a:graphic>
          </wp:inline>
        </w:drawing>
      </w:r>
      <w:r>
        <w:t xml:space="preserve"> </w:t>
      </w:r>
    </w:p>
    <w:p>
      <w:pPr>
        <w:ind w:firstLine="0" w:firstLineChars="0"/>
        <w:jc w:val="center"/>
        <w:sectPr>
          <w:pgSz w:w="11906" w:h="16838"/>
          <w:pgMar w:top="2098" w:right="1474" w:bottom="1985" w:left="1588" w:header="851" w:footer="992" w:gutter="0"/>
          <w:cols w:space="425" w:num="1"/>
          <w:docGrid w:type="linesAndChars" w:linePitch="579" w:charSpace="-849"/>
        </w:sectPr>
      </w:pPr>
    </w:p>
    <w:p>
      <w:pPr>
        <w:ind w:firstLine="632"/>
        <w:outlineLvl w:val="1"/>
        <w:rPr>
          <w:rFonts w:eastAsia="方正楷体_GBK"/>
          <w:szCs w:val="32"/>
        </w:rPr>
      </w:pPr>
      <w:bookmarkStart w:id="47" w:name="_Toc79167015"/>
      <w:r>
        <w:rPr>
          <w:rFonts w:hint="eastAsia" w:eastAsia="方正楷体_GBK"/>
          <w:szCs w:val="32"/>
        </w:rPr>
        <w:t>附图</w:t>
      </w:r>
      <w:r>
        <w:rPr>
          <w:rFonts w:eastAsia="方正楷体_GBK"/>
          <w:szCs w:val="32"/>
        </w:rPr>
        <w:t xml:space="preserve">2  </w:t>
      </w:r>
      <w:r>
        <w:rPr>
          <w:rFonts w:hint="eastAsia" w:eastAsia="方正楷体_GBK"/>
          <w:szCs w:val="32"/>
        </w:rPr>
        <w:t>江津区水系图</w:t>
      </w:r>
      <w:bookmarkEnd w:id="47"/>
    </w:p>
    <w:p>
      <w:pPr>
        <w:ind w:firstLine="0" w:firstLineChars="0"/>
        <w:jc w:val="center"/>
        <w:sectPr>
          <w:pgSz w:w="11906" w:h="16838"/>
          <w:pgMar w:top="2098" w:right="1474" w:bottom="1985" w:left="1588" w:header="851" w:footer="992" w:gutter="0"/>
          <w:cols w:space="425" w:num="1"/>
          <w:docGrid w:type="linesAndChars" w:linePitch="579" w:charSpace="-849"/>
        </w:sectPr>
      </w:pPr>
      <w:r>
        <w:drawing>
          <wp:inline distT="0" distB="0" distL="0" distR="0">
            <wp:extent cx="5615305" cy="756285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618061" cy="7567075"/>
                    </a:xfrm>
                    <a:prstGeom prst="rect">
                      <a:avLst/>
                    </a:prstGeom>
                    <a:noFill/>
                    <a:ln>
                      <a:noFill/>
                    </a:ln>
                  </pic:spPr>
                </pic:pic>
              </a:graphicData>
            </a:graphic>
          </wp:inline>
        </w:drawing>
      </w:r>
    </w:p>
    <w:p>
      <w:pPr>
        <w:ind w:firstLine="632"/>
        <w:outlineLvl w:val="1"/>
        <w:rPr>
          <w:rFonts w:eastAsia="方正楷体_GBK"/>
          <w:szCs w:val="32"/>
        </w:rPr>
      </w:pPr>
      <w:bookmarkStart w:id="48" w:name="_Toc79167016"/>
      <w:r>
        <w:rPr>
          <w:rFonts w:hint="eastAsia" w:eastAsia="方正楷体_GBK"/>
          <w:szCs w:val="32"/>
        </w:rPr>
        <w:t>附图</w:t>
      </w:r>
      <w:r>
        <w:rPr>
          <w:rFonts w:eastAsia="方正楷体_GBK"/>
          <w:szCs w:val="32"/>
        </w:rPr>
        <w:t xml:space="preserve">3  </w:t>
      </w:r>
      <w:r>
        <w:rPr>
          <w:rFonts w:hint="eastAsia" w:eastAsia="方正楷体_GBK"/>
          <w:szCs w:val="32"/>
        </w:rPr>
        <w:t>江津区畜禽养殖场化学需氧量产生量分布图</w:t>
      </w:r>
      <w:bookmarkEnd w:id="48"/>
    </w:p>
    <w:p>
      <w:pPr>
        <w:ind w:firstLine="0" w:firstLineChars="0"/>
        <w:jc w:val="center"/>
      </w:pPr>
      <w:r>
        <w:drawing>
          <wp:inline distT="0" distB="0" distL="0" distR="0">
            <wp:extent cx="5614035" cy="7612380"/>
            <wp:effectExtent l="0" t="0" r="571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14427" cy="7613444"/>
                    </a:xfrm>
                    <a:prstGeom prst="rect">
                      <a:avLst/>
                    </a:prstGeom>
                    <a:noFill/>
                    <a:ln>
                      <a:noFill/>
                    </a:ln>
                  </pic:spPr>
                </pic:pic>
              </a:graphicData>
            </a:graphic>
          </wp:inline>
        </w:drawing>
      </w:r>
    </w:p>
    <w:p>
      <w:pPr>
        <w:ind w:firstLine="0" w:firstLineChars="0"/>
        <w:jc w:val="center"/>
        <w:sectPr>
          <w:pgSz w:w="11906" w:h="16838"/>
          <w:pgMar w:top="2098" w:right="1474" w:bottom="1985" w:left="1588" w:header="851" w:footer="992" w:gutter="0"/>
          <w:cols w:space="425" w:num="1"/>
          <w:docGrid w:type="linesAndChars" w:linePitch="579" w:charSpace="-849"/>
        </w:sectPr>
      </w:pPr>
    </w:p>
    <w:p>
      <w:pPr>
        <w:ind w:firstLine="632"/>
        <w:outlineLvl w:val="1"/>
        <w:rPr>
          <w:rFonts w:eastAsia="方正楷体_GBK"/>
          <w:szCs w:val="32"/>
        </w:rPr>
      </w:pPr>
      <w:bookmarkStart w:id="49" w:name="_Toc79167017"/>
      <w:r>
        <w:rPr>
          <w:rFonts w:hint="eastAsia" w:eastAsia="方正楷体_GBK"/>
          <w:szCs w:val="32"/>
        </w:rPr>
        <w:t>附图</w:t>
      </w:r>
      <w:r>
        <w:rPr>
          <w:rFonts w:eastAsia="方正楷体_GBK"/>
          <w:szCs w:val="32"/>
        </w:rPr>
        <w:t xml:space="preserve">4  </w:t>
      </w:r>
      <w:r>
        <w:rPr>
          <w:rFonts w:hint="eastAsia" w:eastAsia="方正楷体_GBK"/>
          <w:szCs w:val="32"/>
        </w:rPr>
        <w:t>江津区畜禽养殖场生化需氧量产生量分布图</w:t>
      </w:r>
      <w:bookmarkEnd w:id="49"/>
    </w:p>
    <w:p>
      <w:pPr>
        <w:ind w:firstLine="0" w:firstLineChars="0"/>
        <w:jc w:val="center"/>
        <w:sectPr>
          <w:pgSz w:w="11906" w:h="16838"/>
          <w:pgMar w:top="2098" w:right="1474" w:bottom="1985" w:left="1588" w:header="851" w:footer="992" w:gutter="0"/>
          <w:cols w:space="425" w:num="1"/>
          <w:docGrid w:type="linesAndChars" w:linePitch="579" w:charSpace="-849"/>
        </w:sectPr>
      </w:pPr>
      <w:r>
        <w:drawing>
          <wp:inline distT="0" distB="0" distL="0" distR="0">
            <wp:extent cx="5613400" cy="7559675"/>
            <wp:effectExtent l="0" t="0" r="635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17134" cy="7564329"/>
                    </a:xfrm>
                    <a:prstGeom prst="rect">
                      <a:avLst/>
                    </a:prstGeom>
                    <a:noFill/>
                    <a:ln>
                      <a:noFill/>
                    </a:ln>
                  </pic:spPr>
                </pic:pic>
              </a:graphicData>
            </a:graphic>
          </wp:inline>
        </w:drawing>
      </w:r>
    </w:p>
    <w:p>
      <w:pPr>
        <w:ind w:firstLine="632"/>
        <w:outlineLvl w:val="1"/>
        <w:rPr>
          <w:rFonts w:eastAsia="方正楷体_GBK"/>
          <w:szCs w:val="32"/>
        </w:rPr>
      </w:pPr>
      <w:bookmarkStart w:id="50" w:name="_Toc79167018"/>
      <w:r>
        <w:rPr>
          <w:rFonts w:hint="eastAsia" w:eastAsia="方正楷体_GBK"/>
          <w:szCs w:val="32"/>
        </w:rPr>
        <w:t>附图</w:t>
      </w:r>
      <w:r>
        <w:rPr>
          <w:rFonts w:eastAsia="方正楷体_GBK"/>
          <w:szCs w:val="32"/>
        </w:rPr>
        <w:t xml:space="preserve">5  </w:t>
      </w:r>
      <w:r>
        <w:rPr>
          <w:rFonts w:hint="eastAsia" w:eastAsia="方正楷体_GBK"/>
          <w:szCs w:val="32"/>
        </w:rPr>
        <w:t>江津区畜禽养殖场氨氮产生量分布图</w:t>
      </w:r>
      <w:bookmarkEnd w:id="50"/>
    </w:p>
    <w:p>
      <w:pPr>
        <w:ind w:firstLine="0" w:firstLineChars="0"/>
        <w:jc w:val="center"/>
        <w:sectPr>
          <w:pgSz w:w="11906" w:h="16838"/>
          <w:pgMar w:top="2098" w:right="1474" w:bottom="1985" w:left="1588" w:header="851" w:footer="992" w:gutter="0"/>
          <w:cols w:space="425" w:num="1"/>
          <w:docGrid w:type="linesAndChars" w:linePitch="579" w:charSpace="-849"/>
        </w:sectPr>
      </w:pPr>
      <w:r>
        <w:drawing>
          <wp:inline distT="0" distB="0" distL="0" distR="0">
            <wp:extent cx="5614035" cy="7432040"/>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4421" cy="7432669"/>
                    </a:xfrm>
                    <a:prstGeom prst="rect">
                      <a:avLst/>
                    </a:prstGeom>
                    <a:noFill/>
                    <a:ln>
                      <a:noFill/>
                    </a:ln>
                  </pic:spPr>
                </pic:pic>
              </a:graphicData>
            </a:graphic>
          </wp:inline>
        </w:drawing>
      </w:r>
    </w:p>
    <w:p>
      <w:pPr>
        <w:ind w:firstLine="632"/>
        <w:outlineLvl w:val="1"/>
        <w:rPr>
          <w:rFonts w:eastAsia="方正楷体_GBK"/>
          <w:szCs w:val="32"/>
        </w:rPr>
      </w:pPr>
      <w:bookmarkStart w:id="51" w:name="_Toc79167019"/>
      <w:r>
        <w:rPr>
          <w:rFonts w:hint="eastAsia" w:eastAsia="方正楷体_GBK"/>
          <w:szCs w:val="32"/>
        </w:rPr>
        <w:t>附图</w:t>
      </w:r>
      <w:r>
        <w:rPr>
          <w:rFonts w:eastAsia="方正楷体_GBK"/>
          <w:szCs w:val="32"/>
        </w:rPr>
        <w:t xml:space="preserve">6  </w:t>
      </w:r>
      <w:r>
        <w:rPr>
          <w:rFonts w:hint="eastAsia" w:eastAsia="方正楷体_GBK"/>
          <w:szCs w:val="32"/>
        </w:rPr>
        <w:t>江津区畜禽养殖场总磷产生量分布图</w:t>
      </w:r>
      <w:bookmarkEnd w:id="51"/>
    </w:p>
    <w:p>
      <w:pPr>
        <w:ind w:firstLine="0" w:firstLineChars="0"/>
        <w:jc w:val="center"/>
      </w:pPr>
      <w:r>
        <w:drawing>
          <wp:inline distT="0" distB="0" distL="0" distR="0">
            <wp:extent cx="5613400" cy="7517130"/>
            <wp:effectExtent l="0" t="0" r="635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16691" cy="7521297"/>
                    </a:xfrm>
                    <a:prstGeom prst="rect">
                      <a:avLst/>
                    </a:prstGeom>
                    <a:noFill/>
                    <a:ln>
                      <a:noFill/>
                    </a:ln>
                  </pic:spPr>
                </pic:pic>
              </a:graphicData>
            </a:graphic>
          </wp:inline>
        </w:drawing>
      </w:r>
    </w:p>
    <w:p>
      <w:pPr>
        <w:ind w:firstLine="0" w:firstLineChars="0"/>
        <w:jc w:val="center"/>
        <w:sectPr>
          <w:pgSz w:w="11906" w:h="16838"/>
          <w:pgMar w:top="2098" w:right="1474" w:bottom="1985" w:left="1588" w:header="851" w:footer="992" w:gutter="0"/>
          <w:cols w:space="425" w:num="1"/>
          <w:docGrid w:type="linesAndChars" w:linePitch="579" w:charSpace="-849"/>
        </w:sectPr>
      </w:pPr>
    </w:p>
    <w:p>
      <w:pPr>
        <w:ind w:firstLine="632"/>
        <w:outlineLvl w:val="1"/>
        <w:rPr>
          <w:rFonts w:eastAsia="方正楷体_GBK"/>
          <w:szCs w:val="32"/>
        </w:rPr>
      </w:pPr>
      <w:bookmarkStart w:id="52" w:name="_Toc79167020"/>
      <w:r>
        <w:rPr>
          <w:rFonts w:hint="eastAsia" w:eastAsia="方正楷体_GBK"/>
          <w:szCs w:val="32"/>
        </w:rPr>
        <w:t>附图</w:t>
      </w:r>
      <w:r>
        <w:rPr>
          <w:rFonts w:eastAsia="方正楷体_GBK"/>
          <w:szCs w:val="32"/>
        </w:rPr>
        <w:t xml:space="preserve">7  </w:t>
      </w:r>
      <w:r>
        <w:rPr>
          <w:rFonts w:hint="eastAsia" w:eastAsia="方正楷体_GBK"/>
          <w:szCs w:val="32"/>
        </w:rPr>
        <w:t>江津区畜禽养殖场总氮产生量分布图</w:t>
      </w:r>
      <w:bookmarkEnd w:id="52"/>
    </w:p>
    <w:p>
      <w:pPr>
        <w:ind w:firstLine="0" w:firstLineChars="0"/>
        <w:jc w:val="center"/>
      </w:pPr>
      <w:r>
        <w:drawing>
          <wp:inline distT="0" distB="0" distL="0" distR="0">
            <wp:extent cx="5613400" cy="7633970"/>
            <wp:effectExtent l="0" t="0" r="635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17874" cy="7639534"/>
                    </a:xfrm>
                    <a:prstGeom prst="rect">
                      <a:avLst/>
                    </a:prstGeom>
                    <a:noFill/>
                    <a:ln>
                      <a:noFill/>
                    </a:ln>
                  </pic:spPr>
                </pic:pic>
              </a:graphicData>
            </a:graphic>
          </wp:inline>
        </w:drawing>
      </w:r>
    </w:p>
    <w:sectPr>
      <w:pgSz w:w="11906" w:h="16838"/>
      <w:pgMar w:top="2098" w:right="1474" w:bottom="1985" w:left="1588" w:header="851" w:footer="992" w:gutter="0"/>
      <w:cols w:space="425" w:num="1"/>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32"/>
      </w:pPr>
      <w:r>
        <w:separator/>
      </w:r>
    </w:p>
  </w:endnote>
  <w:endnote w:type="continuationSeparator" w:id="1">
    <w:p>
      <w:pPr>
        <w:ind w:firstLine="63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方正楷体_GBK">
    <w:panose1 w:val="03000509000000000000"/>
    <w:charset w:val="86"/>
    <w:family w:val="script"/>
    <w:pitch w:val="default"/>
    <w:sig w:usb0="00000001" w:usb1="080E0000" w:usb2="00000000" w:usb3="00000000" w:csb0="00040000" w:csb1="00000000"/>
  </w:font>
  <w:font w:name="Calibri">
    <w:panose1 w:val="020F0502020204030204"/>
    <w:charset w:val="01"/>
    <w:family w:val="auto"/>
    <w:pitch w:val="default"/>
    <w:sig w:usb0="E10002FF" w:usb1="4000ACFF" w:usb2="00000009" w:usb3="00000000" w:csb0="2000019F" w:csb1="00000000"/>
  </w:font>
  <w:font w:name="方正黑体简体">
    <w:altName w:val="微软雅黑"/>
    <w:panose1 w:val="03000509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numPr>
        <w:ilvl w:val="0"/>
        <w:numId w:val="0"/>
      </w:numPr>
      <w:ind w:left="1360"/>
    </w:pPr>
  </w:p>
  <w:p>
    <w:pPr>
      <w:ind w:firstLine="6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1701071"/>
    </w:sdtPr>
    <w:sdtContent>
      <w:p>
        <w:pPr>
          <w:pStyle w:val="4"/>
          <w:numPr>
            <w:ilvl w:val="0"/>
            <w:numId w:val="0"/>
          </w:numPr>
          <w:jc w:val="center"/>
        </w:pPr>
        <w:r>
          <w:fldChar w:fldCharType="begin"/>
        </w:r>
        <w:r>
          <w:instrText xml:space="preserve">PAGE   \* MERGEFORMAT</w:instrText>
        </w:r>
        <w:r>
          <w:fldChar w:fldCharType="separate"/>
        </w:r>
        <w:r>
          <w:rPr>
            <w:lang w:val="zh-CN"/>
          </w:rPr>
          <w:t>2</w:t>
        </w:r>
        <w:r>
          <w:fldChar w:fldCharType="end"/>
        </w:r>
      </w:p>
    </w:sdtContent>
  </w:sdt>
  <w:p>
    <w:pPr>
      <w:ind w:firstLine="6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787895"/>
    </w:sdtPr>
    <w:sdtEndPr>
      <w:rPr>
        <w:sz w:val="32"/>
        <w:szCs w:val="32"/>
      </w:rPr>
    </w:sdtEndPr>
    <w:sdtContent>
      <w:p>
        <w:pPr>
          <w:pStyle w:val="6"/>
          <w:ind w:firstLine="360"/>
          <w:jc w:val="center"/>
          <w:rPr>
            <w:sz w:val="32"/>
            <w:szCs w:val="32"/>
          </w:rPr>
        </w:pP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0374157"/>
    </w:sdtPr>
    <w:sdtContent>
      <w:p>
        <w:pPr>
          <w:pStyle w:val="4"/>
          <w:numPr>
            <w:ilvl w:val="0"/>
            <w:numId w:val="0"/>
          </w:numPr>
          <w:jc w:val="right"/>
        </w:pPr>
        <w:r>
          <w:rPr>
            <w:rFonts w:hint="eastAsia" w:ascii="方正仿宋_GBK"/>
          </w:rPr>
          <w:t>－</w:t>
        </w:r>
        <w:r>
          <w:fldChar w:fldCharType="begin"/>
        </w:r>
        <w:r>
          <w:instrText xml:space="preserve">PAGE   \* MERGEFORMAT</w:instrText>
        </w:r>
        <w:r>
          <w:fldChar w:fldCharType="separate"/>
        </w:r>
        <w:r>
          <w:rPr>
            <w:lang w:val="zh-CN"/>
          </w:rPr>
          <w:t>2</w:t>
        </w:r>
        <w:r>
          <w:fldChar w:fldCharType="end"/>
        </w:r>
        <w:r>
          <w:rPr>
            <w:rFonts w:hint="eastAsia" w:ascii="方正仿宋_GBK"/>
          </w:rPr>
          <w:t>－</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32"/>
        <w:szCs w:val="32"/>
      </w:rPr>
      <w:id w:val="119120783"/>
    </w:sdtPr>
    <w:sdtEndPr>
      <w:rPr>
        <w:sz w:val="32"/>
        <w:szCs w:val="32"/>
      </w:rPr>
    </w:sdtEndPr>
    <w:sdtContent>
      <w:p>
        <w:pPr>
          <w:pStyle w:val="6"/>
          <w:ind w:firstLine="0" w:firstLineChars="0"/>
          <w:rPr>
            <w:sz w:val="32"/>
            <w:szCs w:val="32"/>
          </w:rPr>
        </w:pPr>
        <w:r>
          <w:rPr>
            <w:rFonts w:hint="eastAsia" w:ascii="方正仿宋_GBK"/>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方正仿宋_GBK"/>
            <w:sz w:val="32"/>
            <w:szCs w:val="32"/>
          </w:rPr>
          <w:t>－</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6068386"/>
    </w:sdtPr>
    <w:sdtContent>
      <w:p>
        <w:pPr>
          <w:pStyle w:val="4"/>
          <w:numPr>
            <w:ilvl w:val="0"/>
            <w:numId w:val="0"/>
          </w:numPr>
          <w:jc w:val="right"/>
        </w:pPr>
        <w:r>
          <w:rPr>
            <w:rFonts w:hint="eastAsia" w:ascii="方正仿宋_GBK"/>
          </w:rPr>
          <w:t>－</w:t>
        </w:r>
        <w:r>
          <w:fldChar w:fldCharType="begin"/>
        </w:r>
        <w:r>
          <w:instrText xml:space="preserve">PAGE   \* MERGEFORMAT</w:instrText>
        </w:r>
        <w:r>
          <w:fldChar w:fldCharType="separate"/>
        </w:r>
        <w:r>
          <w:rPr>
            <w:lang w:val="zh-CN"/>
          </w:rPr>
          <w:t>2</w:t>
        </w:r>
        <w:r>
          <w:fldChar w:fldCharType="end"/>
        </w:r>
        <w:r>
          <w:rPr>
            <w:rFonts w:hint="eastAsia" w:ascii="方正仿宋_GBK"/>
          </w:rPr>
          <w:t>－</w: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32"/>
        <w:szCs w:val="32"/>
      </w:rPr>
      <w:id w:val="1840498219"/>
    </w:sdtPr>
    <w:sdtEndPr>
      <w:rPr>
        <w:sz w:val="32"/>
        <w:szCs w:val="32"/>
      </w:rPr>
    </w:sdtEndPr>
    <w:sdtContent>
      <w:p>
        <w:pPr>
          <w:pStyle w:val="6"/>
          <w:ind w:firstLine="0" w:firstLineChars="0"/>
          <w:rPr>
            <w:sz w:val="32"/>
            <w:szCs w:val="32"/>
          </w:rPr>
        </w:pPr>
        <w:r>
          <w:rPr>
            <w:rFonts w:hint="eastAsia" w:ascii="方正仿宋_GBK"/>
            <w:sz w:val="32"/>
            <w:szCs w:val="32"/>
          </w:rPr>
          <w:t>－</w:t>
        </w:r>
        <w:r>
          <w:rPr>
            <w:sz w:val="32"/>
            <w:szCs w:val="32"/>
          </w:rPr>
          <w:fldChar w:fldCharType="begin"/>
        </w:r>
        <w:r>
          <w:rPr>
            <w:sz w:val="32"/>
            <w:szCs w:val="32"/>
          </w:rPr>
          <w:instrText xml:space="preserve">PAGE   \* MERGEFORMAT</w:instrText>
        </w:r>
        <w:r>
          <w:rPr>
            <w:sz w:val="32"/>
            <w:szCs w:val="32"/>
          </w:rPr>
          <w:fldChar w:fldCharType="separate"/>
        </w:r>
        <w:r>
          <w:rPr>
            <w:sz w:val="32"/>
            <w:szCs w:val="32"/>
            <w:lang w:val="zh-CN"/>
          </w:rPr>
          <w:t>2</w:t>
        </w:r>
        <w:r>
          <w:rPr>
            <w:sz w:val="32"/>
            <w:szCs w:val="32"/>
          </w:rPr>
          <w:fldChar w:fldCharType="end"/>
        </w:r>
        <w:r>
          <w:rPr>
            <w:rFonts w:hint="eastAsia" w:ascii="方正仿宋_GBK"/>
            <w:sz w:val="32"/>
            <w:szCs w:val="32"/>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32"/>
      </w:pPr>
      <w:r>
        <w:separator/>
      </w:r>
    </w:p>
  </w:footnote>
  <w:footnote w:type="continuationSeparator" w:id="1">
    <w:p>
      <w:pPr>
        <w:ind w:firstLine="63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C54EDE"/>
    <w:multiLevelType w:val="multilevel"/>
    <w:tmpl w:val="75C54EDE"/>
    <w:lvl w:ilvl="0" w:tentative="0">
      <w:start w:val="1"/>
      <w:numFmt w:val="decimal"/>
      <w:pStyle w:val="4"/>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evenAndOddHeaders w:val="1"/>
  <w:drawingGridHorizontalSpacing w:val="158"/>
  <w:drawingGridVerticalSpacing w:val="579"/>
  <w:displayHorizontalDrawingGridEvery w:val="2"/>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499"/>
    <w:rsid w:val="00001964"/>
    <w:rsid w:val="00003246"/>
    <w:rsid w:val="00003BD5"/>
    <w:rsid w:val="00003EE3"/>
    <w:rsid w:val="000045B6"/>
    <w:rsid w:val="00004C00"/>
    <w:rsid w:val="00004C3D"/>
    <w:rsid w:val="000061E3"/>
    <w:rsid w:val="000063A0"/>
    <w:rsid w:val="00006F91"/>
    <w:rsid w:val="000119D7"/>
    <w:rsid w:val="00011FFA"/>
    <w:rsid w:val="000131C7"/>
    <w:rsid w:val="00013DC5"/>
    <w:rsid w:val="00020499"/>
    <w:rsid w:val="00020AA6"/>
    <w:rsid w:val="00021572"/>
    <w:rsid w:val="0002178E"/>
    <w:rsid w:val="0002199C"/>
    <w:rsid w:val="00023E2C"/>
    <w:rsid w:val="0002720F"/>
    <w:rsid w:val="00027571"/>
    <w:rsid w:val="000305D1"/>
    <w:rsid w:val="00030A9A"/>
    <w:rsid w:val="00030FD5"/>
    <w:rsid w:val="000335AD"/>
    <w:rsid w:val="0003439D"/>
    <w:rsid w:val="000358DC"/>
    <w:rsid w:val="000376AC"/>
    <w:rsid w:val="0004172C"/>
    <w:rsid w:val="00041B4A"/>
    <w:rsid w:val="00041CCC"/>
    <w:rsid w:val="00043630"/>
    <w:rsid w:val="0004428A"/>
    <w:rsid w:val="00044F39"/>
    <w:rsid w:val="00044F96"/>
    <w:rsid w:val="00045753"/>
    <w:rsid w:val="00047F67"/>
    <w:rsid w:val="00050CC6"/>
    <w:rsid w:val="000517D5"/>
    <w:rsid w:val="00051E3E"/>
    <w:rsid w:val="00052A12"/>
    <w:rsid w:val="000537E0"/>
    <w:rsid w:val="0005458D"/>
    <w:rsid w:val="000556E4"/>
    <w:rsid w:val="00055FAC"/>
    <w:rsid w:val="0005612E"/>
    <w:rsid w:val="00057704"/>
    <w:rsid w:val="00057B6D"/>
    <w:rsid w:val="00061BC4"/>
    <w:rsid w:val="00062AA0"/>
    <w:rsid w:val="000633AE"/>
    <w:rsid w:val="00064393"/>
    <w:rsid w:val="0007019E"/>
    <w:rsid w:val="000701DB"/>
    <w:rsid w:val="00071832"/>
    <w:rsid w:val="000721FC"/>
    <w:rsid w:val="000725F4"/>
    <w:rsid w:val="000746A9"/>
    <w:rsid w:val="0008137A"/>
    <w:rsid w:val="00082108"/>
    <w:rsid w:val="00082A43"/>
    <w:rsid w:val="00082A6D"/>
    <w:rsid w:val="000830B7"/>
    <w:rsid w:val="00083950"/>
    <w:rsid w:val="00085E20"/>
    <w:rsid w:val="000861E3"/>
    <w:rsid w:val="00090D52"/>
    <w:rsid w:val="000934C4"/>
    <w:rsid w:val="00093D0F"/>
    <w:rsid w:val="00093DE3"/>
    <w:rsid w:val="00094D97"/>
    <w:rsid w:val="00094F3C"/>
    <w:rsid w:val="000953D7"/>
    <w:rsid w:val="00095E9D"/>
    <w:rsid w:val="00096EC6"/>
    <w:rsid w:val="000A0656"/>
    <w:rsid w:val="000A0F35"/>
    <w:rsid w:val="000A1F7C"/>
    <w:rsid w:val="000A4014"/>
    <w:rsid w:val="000A77ED"/>
    <w:rsid w:val="000A7EF5"/>
    <w:rsid w:val="000B16D2"/>
    <w:rsid w:val="000B36A5"/>
    <w:rsid w:val="000B4198"/>
    <w:rsid w:val="000B7FFA"/>
    <w:rsid w:val="000C2E01"/>
    <w:rsid w:val="000C2EE4"/>
    <w:rsid w:val="000C3215"/>
    <w:rsid w:val="000C3A33"/>
    <w:rsid w:val="000C5E86"/>
    <w:rsid w:val="000D18FD"/>
    <w:rsid w:val="000D1D6A"/>
    <w:rsid w:val="000D6D2D"/>
    <w:rsid w:val="000E1018"/>
    <w:rsid w:val="000E1801"/>
    <w:rsid w:val="000E2AD8"/>
    <w:rsid w:val="000E3140"/>
    <w:rsid w:val="000E6E8E"/>
    <w:rsid w:val="000F0CB4"/>
    <w:rsid w:val="000F1293"/>
    <w:rsid w:val="000F22A9"/>
    <w:rsid w:val="000F316F"/>
    <w:rsid w:val="000F3B15"/>
    <w:rsid w:val="000F426E"/>
    <w:rsid w:val="000F6ACF"/>
    <w:rsid w:val="000F6F12"/>
    <w:rsid w:val="000F7DFA"/>
    <w:rsid w:val="0010202C"/>
    <w:rsid w:val="00102388"/>
    <w:rsid w:val="001032FF"/>
    <w:rsid w:val="00103DE2"/>
    <w:rsid w:val="00103F47"/>
    <w:rsid w:val="0010537F"/>
    <w:rsid w:val="0011120D"/>
    <w:rsid w:val="00112065"/>
    <w:rsid w:val="00112CF5"/>
    <w:rsid w:val="0011352A"/>
    <w:rsid w:val="001136DD"/>
    <w:rsid w:val="00116304"/>
    <w:rsid w:val="00121AC2"/>
    <w:rsid w:val="0012214B"/>
    <w:rsid w:val="0012338D"/>
    <w:rsid w:val="00124AB3"/>
    <w:rsid w:val="00124FB8"/>
    <w:rsid w:val="001257BB"/>
    <w:rsid w:val="001268DB"/>
    <w:rsid w:val="00127F60"/>
    <w:rsid w:val="00130048"/>
    <w:rsid w:val="00133612"/>
    <w:rsid w:val="00133E1A"/>
    <w:rsid w:val="0013400C"/>
    <w:rsid w:val="00134F23"/>
    <w:rsid w:val="001364A1"/>
    <w:rsid w:val="00140438"/>
    <w:rsid w:val="0014228C"/>
    <w:rsid w:val="0014287B"/>
    <w:rsid w:val="00142DB5"/>
    <w:rsid w:val="00143BF1"/>
    <w:rsid w:val="00146E0C"/>
    <w:rsid w:val="00147026"/>
    <w:rsid w:val="001510B6"/>
    <w:rsid w:val="00153207"/>
    <w:rsid w:val="00154777"/>
    <w:rsid w:val="00154F64"/>
    <w:rsid w:val="00155D09"/>
    <w:rsid w:val="00164372"/>
    <w:rsid w:val="00164479"/>
    <w:rsid w:val="00165A00"/>
    <w:rsid w:val="0016707B"/>
    <w:rsid w:val="00170796"/>
    <w:rsid w:val="00170A98"/>
    <w:rsid w:val="0017149F"/>
    <w:rsid w:val="00175447"/>
    <w:rsid w:val="00176EBB"/>
    <w:rsid w:val="00182FF8"/>
    <w:rsid w:val="00183060"/>
    <w:rsid w:val="001836EC"/>
    <w:rsid w:val="00184C22"/>
    <w:rsid w:val="00187941"/>
    <w:rsid w:val="0019088B"/>
    <w:rsid w:val="00190C00"/>
    <w:rsid w:val="00191CBE"/>
    <w:rsid w:val="00192606"/>
    <w:rsid w:val="00194268"/>
    <w:rsid w:val="00197310"/>
    <w:rsid w:val="001A046C"/>
    <w:rsid w:val="001A1BA0"/>
    <w:rsid w:val="001A288E"/>
    <w:rsid w:val="001A5A4A"/>
    <w:rsid w:val="001B07E2"/>
    <w:rsid w:val="001B0D85"/>
    <w:rsid w:val="001B1D4D"/>
    <w:rsid w:val="001B2F1D"/>
    <w:rsid w:val="001B3496"/>
    <w:rsid w:val="001B36A4"/>
    <w:rsid w:val="001B402B"/>
    <w:rsid w:val="001C07D0"/>
    <w:rsid w:val="001C175D"/>
    <w:rsid w:val="001C37CE"/>
    <w:rsid w:val="001C3C74"/>
    <w:rsid w:val="001C4776"/>
    <w:rsid w:val="001D0279"/>
    <w:rsid w:val="001D0B6D"/>
    <w:rsid w:val="001D4EF6"/>
    <w:rsid w:val="001D5315"/>
    <w:rsid w:val="001E16C2"/>
    <w:rsid w:val="001E207C"/>
    <w:rsid w:val="001E2104"/>
    <w:rsid w:val="001E25E4"/>
    <w:rsid w:val="001E275B"/>
    <w:rsid w:val="001E544A"/>
    <w:rsid w:val="001E56A2"/>
    <w:rsid w:val="001E5AA6"/>
    <w:rsid w:val="001E6D56"/>
    <w:rsid w:val="001F10A0"/>
    <w:rsid w:val="001F1458"/>
    <w:rsid w:val="001F155D"/>
    <w:rsid w:val="001F21D9"/>
    <w:rsid w:val="001F264F"/>
    <w:rsid w:val="001F4916"/>
    <w:rsid w:val="001F5638"/>
    <w:rsid w:val="00201B30"/>
    <w:rsid w:val="00207732"/>
    <w:rsid w:val="0020794F"/>
    <w:rsid w:val="00207BB2"/>
    <w:rsid w:val="0021017A"/>
    <w:rsid w:val="002104E3"/>
    <w:rsid w:val="00213A96"/>
    <w:rsid w:val="00214494"/>
    <w:rsid w:val="00215478"/>
    <w:rsid w:val="00215993"/>
    <w:rsid w:val="00215A68"/>
    <w:rsid w:val="00217107"/>
    <w:rsid w:val="00221DD0"/>
    <w:rsid w:val="00222089"/>
    <w:rsid w:val="00223AC7"/>
    <w:rsid w:val="0022643F"/>
    <w:rsid w:val="00227181"/>
    <w:rsid w:val="002333AA"/>
    <w:rsid w:val="00234648"/>
    <w:rsid w:val="00235BDA"/>
    <w:rsid w:val="002406FE"/>
    <w:rsid w:val="002415A2"/>
    <w:rsid w:val="00242174"/>
    <w:rsid w:val="002422F5"/>
    <w:rsid w:val="00244269"/>
    <w:rsid w:val="002446C7"/>
    <w:rsid w:val="00245D79"/>
    <w:rsid w:val="0024674B"/>
    <w:rsid w:val="00246B87"/>
    <w:rsid w:val="002500CF"/>
    <w:rsid w:val="0025239D"/>
    <w:rsid w:val="00252ADB"/>
    <w:rsid w:val="00253D1F"/>
    <w:rsid w:val="0025515F"/>
    <w:rsid w:val="00256084"/>
    <w:rsid w:val="00256085"/>
    <w:rsid w:val="002562D7"/>
    <w:rsid w:val="0025650F"/>
    <w:rsid w:val="00256658"/>
    <w:rsid w:val="0025760E"/>
    <w:rsid w:val="00260E8E"/>
    <w:rsid w:val="002615C7"/>
    <w:rsid w:val="0026492F"/>
    <w:rsid w:val="002653D0"/>
    <w:rsid w:val="00265D21"/>
    <w:rsid w:val="00265EED"/>
    <w:rsid w:val="00266098"/>
    <w:rsid w:val="002669B4"/>
    <w:rsid w:val="00266AE1"/>
    <w:rsid w:val="0026704F"/>
    <w:rsid w:val="00270311"/>
    <w:rsid w:val="00270394"/>
    <w:rsid w:val="00270A60"/>
    <w:rsid w:val="002718B6"/>
    <w:rsid w:val="00271990"/>
    <w:rsid w:val="00271F3B"/>
    <w:rsid w:val="00272676"/>
    <w:rsid w:val="00272888"/>
    <w:rsid w:val="00272B5E"/>
    <w:rsid w:val="00275191"/>
    <w:rsid w:val="00276116"/>
    <w:rsid w:val="002772DE"/>
    <w:rsid w:val="00281C26"/>
    <w:rsid w:val="002834EC"/>
    <w:rsid w:val="0028374F"/>
    <w:rsid w:val="002863F1"/>
    <w:rsid w:val="00290158"/>
    <w:rsid w:val="00290A6C"/>
    <w:rsid w:val="00291455"/>
    <w:rsid w:val="00292666"/>
    <w:rsid w:val="00292E12"/>
    <w:rsid w:val="00293BE6"/>
    <w:rsid w:val="002940E4"/>
    <w:rsid w:val="0029474C"/>
    <w:rsid w:val="00295256"/>
    <w:rsid w:val="00296471"/>
    <w:rsid w:val="002A23BD"/>
    <w:rsid w:val="002A6B05"/>
    <w:rsid w:val="002A7A82"/>
    <w:rsid w:val="002B18EA"/>
    <w:rsid w:val="002B2C79"/>
    <w:rsid w:val="002B3EFA"/>
    <w:rsid w:val="002B5D43"/>
    <w:rsid w:val="002C247E"/>
    <w:rsid w:val="002C401E"/>
    <w:rsid w:val="002C45EF"/>
    <w:rsid w:val="002C63E0"/>
    <w:rsid w:val="002C7F7F"/>
    <w:rsid w:val="002D0A9E"/>
    <w:rsid w:val="002D38AC"/>
    <w:rsid w:val="002D3E5E"/>
    <w:rsid w:val="002D51BB"/>
    <w:rsid w:val="002D67FA"/>
    <w:rsid w:val="002D7C98"/>
    <w:rsid w:val="002E18FF"/>
    <w:rsid w:val="002E3429"/>
    <w:rsid w:val="002E3A42"/>
    <w:rsid w:val="002E51E4"/>
    <w:rsid w:val="002E6039"/>
    <w:rsid w:val="002E63C5"/>
    <w:rsid w:val="002E67AA"/>
    <w:rsid w:val="002E7712"/>
    <w:rsid w:val="002E7DE9"/>
    <w:rsid w:val="002F012A"/>
    <w:rsid w:val="002F1546"/>
    <w:rsid w:val="002F18D2"/>
    <w:rsid w:val="002F78E1"/>
    <w:rsid w:val="00300C90"/>
    <w:rsid w:val="00301374"/>
    <w:rsid w:val="003041E9"/>
    <w:rsid w:val="003050A1"/>
    <w:rsid w:val="00305BF4"/>
    <w:rsid w:val="00306F98"/>
    <w:rsid w:val="0030797B"/>
    <w:rsid w:val="003101A2"/>
    <w:rsid w:val="00313D01"/>
    <w:rsid w:val="00313D89"/>
    <w:rsid w:val="00320466"/>
    <w:rsid w:val="00320FFE"/>
    <w:rsid w:val="00321AAF"/>
    <w:rsid w:val="00323D6E"/>
    <w:rsid w:val="00324B8B"/>
    <w:rsid w:val="00330C47"/>
    <w:rsid w:val="00332A1B"/>
    <w:rsid w:val="00332C39"/>
    <w:rsid w:val="00332E27"/>
    <w:rsid w:val="003345B6"/>
    <w:rsid w:val="00334F0E"/>
    <w:rsid w:val="003357DB"/>
    <w:rsid w:val="00336084"/>
    <w:rsid w:val="00337E64"/>
    <w:rsid w:val="00340790"/>
    <w:rsid w:val="00340E0B"/>
    <w:rsid w:val="00344743"/>
    <w:rsid w:val="00347E00"/>
    <w:rsid w:val="00350B01"/>
    <w:rsid w:val="00353118"/>
    <w:rsid w:val="003540A8"/>
    <w:rsid w:val="00354B43"/>
    <w:rsid w:val="00355792"/>
    <w:rsid w:val="00360BE1"/>
    <w:rsid w:val="00360E58"/>
    <w:rsid w:val="00363076"/>
    <w:rsid w:val="0036684F"/>
    <w:rsid w:val="003704F7"/>
    <w:rsid w:val="00372FE6"/>
    <w:rsid w:val="003737FE"/>
    <w:rsid w:val="0037485E"/>
    <w:rsid w:val="003748AA"/>
    <w:rsid w:val="0037528E"/>
    <w:rsid w:val="003776D7"/>
    <w:rsid w:val="00377F81"/>
    <w:rsid w:val="00380AFD"/>
    <w:rsid w:val="00382304"/>
    <w:rsid w:val="003830AA"/>
    <w:rsid w:val="00383F0E"/>
    <w:rsid w:val="00384F45"/>
    <w:rsid w:val="00386B72"/>
    <w:rsid w:val="00387B70"/>
    <w:rsid w:val="00390FAB"/>
    <w:rsid w:val="003911BC"/>
    <w:rsid w:val="003912A9"/>
    <w:rsid w:val="003956DE"/>
    <w:rsid w:val="0039663B"/>
    <w:rsid w:val="0039737C"/>
    <w:rsid w:val="00397CBE"/>
    <w:rsid w:val="003A099E"/>
    <w:rsid w:val="003A0A8D"/>
    <w:rsid w:val="003A1336"/>
    <w:rsid w:val="003A37A9"/>
    <w:rsid w:val="003A5F15"/>
    <w:rsid w:val="003A6A74"/>
    <w:rsid w:val="003A7829"/>
    <w:rsid w:val="003B0C51"/>
    <w:rsid w:val="003B14EF"/>
    <w:rsid w:val="003B1E67"/>
    <w:rsid w:val="003B2418"/>
    <w:rsid w:val="003B31DC"/>
    <w:rsid w:val="003B39DB"/>
    <w:rsid w:val="003B3AF9"/>
    <w:rsid w:val="003B3DB5"/>
    <w:rsid w:val="003B7B3E"/>
    <w:rsid w:val="003C00C8"/>
    <w:rsid w:val="003C1DDA"/>
    <w:rsid w:val="003C236E"/>
    <w:rsid w:val="003C27A4"/>
    <w:rsid w:val="003C2CC8"/>
    <w:rsid w:val="003C38D8"/>
    <w:rsid w:val="003C3A52"/>
    <w:rsid w:val="003C451A"/>
    <w:rsid w:val="003C47E7"/>
    <w:rsid w:val="003C5813"/>
    <w:rsid w:val="003C7AD8"/>
    <w:rsid w:val="003D0D7F"/>
    <w:rsid w:val="003D1492"/>
    <w:rsid w:val="003D1BEF"/>
    <w:rsid w:val="003D41F0"/>
    <w:rsid w:val="003D478B"/>
    <w:rsid w:val="003D5DDB"/>
    <w:rsid w:val="003D67C9"/>
    <w:rsid w:val="003D699D"/>
    <w:rsid w:val="003D7F21"/>
    <w:rsid w:val="003E06E9"/>
    <w:rsid w:val="003E2F47"/>
    <w:rsid w:val="003E3286"/>
    <w:rsid w:val="003E3613"/>
    <w:rsid w:val="003E4877"/>
    <w:rsid w:val="003E622F"/>
    <w:rsid w:val="003E7549"/>
    <w:rsid w:val="003E7835"/>
    <w:rsid w:val="003E7CFB"/>
    <w:rsid w:val="003F1489"/>
    <w:rsid w:val="003F179D"/>
    <w:rsid w:val="003F1A57"/>
    <w:rsid w:val="003F4984"/>
    <w:rsid w:val="003F727E"/>
    <w:rsid w:val="00400BDC"/>
    <w:rsid w:val="00400D8F"/>
    <w:rsid w:val="00402416"/>
    <w:rsid w:val="00402B2B"/>
    <w:rsid w:val="0040395B"/>
    <w:rsid w:val="00403C72"/>
    <w:rsid w:val="004054A4"/>
    <w:rsid w:val="0040581A"/>
    <w:rsid w:val="00405C7B"/>
    <w:rsid w:val="0040758D"/>
    <w:rsid w:val="0041079C"/>
    <w:rsid w:val="00413A2A"/>
    <w:rsid w:val="00413B3E"/>
    <w:rsid w:val="00413E3D"/>
    <w:rsid w:val="00414038"/>
    <w:rsid w:val="004149E4"/>
    <w:rsid w:val="004157E1"/>
    <w:rsid w:val="00416091"/>
    <w:rsid w:val="004160DC"/>
    <w:rsid w:val="0041699E"/>
    <w:rsid w:val="00417656"/>
    <w:rsid w:val="0041791F"/>
    <w:rsid w:val="00417BA2"/>
    <w:rsid w:val="004206BB"/>
    <w:rsid w:val="00422880"/>
    <w:rsid w:val="00422BD9"/>
    <w:rsid w:val="0042309F"/>
    <w:rsid w:val="004233F6"/>
    <w:rsid w:val="00423501"/>
    <w:rsid w:val="00424570"/>
    <w:rsid w:val="004309EA"/>
    <w:rsid w:val="00431F3D"/>
    <w:rsid w:val="00434A8F"/>
    <w:rsid w:val="00435204"/>
    <w:rsid w:val="00440F99"/>
    <w:rsid w:val="00444C05"/>
    <w:rsid w:val="004452F1"/>
    <w:rsid w:val="0044723B"/>
    <w:rsid w:val="004514D4"/>
    <w:rsid w:val="00453CC2"/>
    <w:rsid w:val="004544CE"/>
    <w:rsid w:val="0045626D"/>
    <w:rsid w:val="004562CB"/>
    <w:rsid w:val="00460A4B"/>
    <w:rsid w:val="00461F04"/>
    <w:rsid w:val="00461F2F"/>
    <w:rsid w:val="00463DB6"/>
    <w:rsid w:val="00464CC5"/>
    <w:rsid w:val="00464CF5"/>
    <w:rsid w:val="00466EED"/>
    <w:rsid w:val="0047117F"/>
    <w:rsid w:val="00471AA2"/>
    <w:rsid w:val="0047469D"/>
    <w:rsid w:val="004749F6"/>
    <w:rsid w:val="004765DF"/>
    <w:rsid w:val="00476672"/>
    <w:rsid w:val="0047746D"/>
    <w:rsid w:val="0048118F"/>
    <w:rsid w:val="0048165C"/>
    <w:rsid w:val="0048336C"/>
    <w:rsid w:val="00483473"/>
    <w:rsid w:val="00484C0C"/>
    <w:rsid w:val="0049015D"/>
    <w:rsid w:val="004904CC"/>
    <w:rsid w:val="00490B1E"/>
    <w:rsid w:val="00491B2B"/>
    <w:rsid w:val="00492C68"/>
    <w:rsid w:val="00492E0A"/>
    <w:rsid w:val="00493AE4"/>
    <w:rsid w:val="00493CFC"/>
    <w:rsid w:val="00494C48"/>
    <w:rsid w:val="004A11D8"/>
    <w:rsid w:val="004A1822"/>
    <w:rsid w:val="004A1B21"/>
    <w:rsid w:val="004A1BD2"/>
    <w:rsid w:val="004A2BB4"/>
    <w:rsid w:val="004A2BFA"/>
    <w:rsid w:val="004A393E"/>
    <w:rsid w:val="004A61FF"/>
    <w:rsid w:val="004A7112"/>
    <w:rsid w:val="004B1838"/>
    <w:rsid w:val="004B1881"/>
    <w:rsid w:val="004B4B0E"/>
    <w:rsid w:val="004C03E4"/>
    <w:rsid w:val="004C124E"/>
    <w:rsid w:val="004C2E0B"/>
    <w:rsid w:val="004C30B0"/>
    <w:rsid w:val="004C4235"/>
    <w:rsid w:val="004C6157"/>
    <w:rsid w:val="004C6BF9"/>
    <w:rsid w:val="004C7557"/>
    <w:rsid w:val="004D1CC1"/>
    <w:rsid w:val="004D2270"/>
    <w:rsid w:val="004D3537"/>
    <w:rsid w:val="004D3AEA"/>
    <w:rsid w:val="004D456C"/>
    <w:rsid w:val="004E2B7F"/>
    <w:rsid w:val="004E39F0"/>
    <w:rsid w:val="004E45B0"/>
    <w:rsid w:val="004E4F64"/>
    <w:rsid w:val="004E686F"/>
    <w:rsid w:val="004F00DB"/>
    <w:rsid w:val="004F0462"/>
    <w:rsid w:val="004F0BC1"/>
    <w:rsid w:val="004F2680"/>
    <w:rsid w:val="004F3201"/>
    <w:rsid w:val="004F4EC2"/>
    <w:rsid w:val="004F6656"/>
    <w:rsid w:val="00504B19"/>
    <w:rsid w:val="00505696"/>
    <w:rsid w:val="00506A92"/>
    <w:rsid w:val="005071B5"/>
    <w:rsid w:val="00507B38"/>
    <w:rsid w:val="00507C89"/>
    <w:rsid w:val="00510114"/>
    <w:rsid w:val="0051042B"/>
    <w:rsid w:val="00511B5B"/>
    <w:rsid w:val="00512DAC"/>
    <w:rsid w:val="005131C8"/>
    <w:rsid w:val="00513BD8"/>
    <w:rsid w:val="00517EE0"/>
    <w:rsid w:val="0052008C"/>
    <w:rsid w:val="00520B32"/>
    <w:rsid w:val="00536031"/>
    <w:rsid w:val="00537160"/>
    <w:rsid w:val="005379DB"/>
    <w:rsid w:val="005400D1"/>
    <w:rsid w:val="00540717"/>
    <w:rsid w:val="005409FC"/>
    <w:rsid w:val="00542528"/>
    <w:rsid w:val="005428E2"/>
    <w:rsid w:val="005431A6"/>
    <w:rsid w:val="00544621"/>
    <w:rsid w:val="00544C0C"/>
    <w:rsid w:val="00546EB5"/>
    <w:rsid w:val="00547A4B"/>
    <w:rsid w:val="005517D5"/>
    <w:rsid w:val="00551978"/>
    <w:rsid w:val="00552529"/>
    <w:rsid w:val="00561F96"/>
    <w:rsid w:val="00562153"/>
    <w:rsid w:val="005624ED"/>
    <w:rsid w:val="00562BD3"/>
    <w:rsid w:val="00563D4A"/>
    <w:rsid w:val="00564E69"/>
    <w:rsid w:val="005650C0"/>
    <w:rsid w:val="00565A58"/>
    <w:rsid w:val="0057002F"/>
    <w:rsid w:val="00570944"/>
    <w:rsid w:val="00570A29"/>
    <w:rsid w:val="00571945"/>
    <w:rsid w:val="00571F86"/>
    <w:rsid w:val="00572302"/>
    <w:rsid w:val="005743FA"/>
    <w:rsid w:val="00575A03"/>
    <w:rsid w:val="0057618E"/>
    <w:rsid w:val="005823BB"/>
    <w:rsid w:val="0058294B"/>
    <w:rsid w:val="00585223"/>
    <w:rsid w:val="00585811"/>
    <w:rsid w:val="005860C0"/>
    <w:rsid w:val="0058744F"/>
    <w:rsid w:val="005878FE"/>
    <w:rsid w:val="0059375D"/>
    <w:rsid w:val="00593E3E"/>
    <w:rsid w:val="00594D1B"/>
    <w:rsid w:val="00595689"/>
    <w:rsid w:val="00595F65"/>
    <w:rsid w:val="0059616B"/>
    <w:rsid w:val="0059633C"/>
    <w:rsid w:val="00597A79"/>
    <w:rsid w:val="005A0C7B"/>
    <w:rsid w:val="005A0DEE"/>
    <w:rsid w:val="005A76B9"/>
    <w:rsid w:val="005B15A5"/>
    <w:rsid w:val="005B2ABD"/>
    <w:rsid w:val="005B7F39"/>
    <w:rsid w:val="005C0FB7"/>
    <w:rsid w:val="005C1B17"/>
    <w:rsid w:val="005C281E"/>
    <w:rsid w:val="005C334A"/>
    <w:rsid w:val="005C5F05"/>
    <w:rsid w:val="005C5F1C"/>
    <w:rsid w:val="005C61EB"/>
    <w:rsid w:val="005C7BD8"/>
    <w:rsid w:val="005D1180"/>
    <w:rsid w:val="005D1BE5"/>
    <w:rsid w:val="005D2354"/>
    <w:rsid w:val="005D3239"/>
    <w:rsid w:val="005D3F5C"/>
    <w:rsid w:val="005D4054"/>
    <w:rsid w:val="005D408A"/>
    <w:rsid w:val="005D5962"/>
    <w:rsid w:val="005E2C91"/>
    <w:rsid w:val="005E4047"/>
    <w:rsid w:val="005E40A3"/>
    <w:rsid w:val="005E4623"/>
    <w:rsid w:val="005E4742"/>
    <w:rsid w:val="005E4F8F"/>
    <w:rsid w:val="005E5BE0"/>
    <w:rsid w:val="005E7D76"/>
    <w:rsid w:val="005F01EB"/>
    <w:rsid w:val="005F05C8"/>
    <w:rsid w:val="005F28DA"/>
    <w:rsid w:val="005F348C"/>
    <w:rsid w:val="005F3F83"/>
    <w:rsid w:val="005F4BF6"/>
    <w:rsid w:val="005F52EC"/>
    <w:rsid w:val="005F5B67"/>
    <w:rsid w:val="005F64CD"/>
    <w:rsid w:val="005F75FA"/>
    <w:rsid w:val="005F7913"/>
    <w:rsid w:val="00600037"/>
    <w:rsid w:val="00600DB1"/>
    <w:rsid w:val="00600DFA"/>
    <w:rsid w:val="00601DB2"/>
    <w:rsid w:val="00604070"/>
    <w:rsid w:val="00604241"/>
    <w:rsid w:val="00606BA0"/>
    <w:rsid w:val="0060774D"/>
    <w:rsid w:val="00607FC6"/>
    <w:rsid w:val="00610907"/>
    <w:rsid w:val="00610B02"/>
    <w:rsid w:val="00610FAD"/>
    <w:rsid w:val="0061272E"/>
    <w:rsid w:val="0061531E"/>
    <w:rsid w:val="006162D5"/>
    <w:rsid w:val="00616FD0"/>
    <w:rsid w:val="00617E00"/>
    <w:rsid w:val="0062036A"/>
    <w:rsid w:val="00621A3E"/>
    <w:rsid w:val="00621B55"/>
    <w:rsid w:val="00621F3E"/>
    <w:rsid w:val="0062351A"/>
    <w:rsid w:val="00624BFB"/>
    <w:rsid w:val="006257E1"/>
    <w:rsid w:val="006259CF"/>
    <w:rsid w:val="00626AA5"/>
    <w:rsid w:val="006306FB"/>
    <w:rsid w:val="00631231"/>
    <w:rsid w:val="00632552"/>
    <w:rsid w:val="00633151"/>
    <w:rsid w:val="00633F2A"/>
    <w:rsid w:val="006353A7"/>
    <w:rsid w:val="006368D3"/>
    <w:rsid w:val="006372C8"/>
    <w:rsid w:val="00637ACB"/>
    <w:rsid w:val="00637BB4"/>
    <w:rsid w:val="00637E66"/>
    <w:rsid w:val="00641555"/>
    <w:rsid w:val="00644AFD"/>
    <w:rsid w:val="006469BD"/>
    <w:rsid w:val="006509BE"/>
    <w:rsid w:val="006529AC"/>
    <w:rsid w:val="00652EA0"/>
    <w:rsid w:val="00653F7A"/>
    <w:rsid w:val="00654B93"/>
    <w:rsid w:val="006551A5"/>
    <w:rsid w:val="00655847"/>
    <w:rsid w:val="006560F0"/>
    <w:rsid w:val="00656683"/>
    <w:rsid w:val="00666610"/>
    <w:rsid w:val="006706B9"/>
    <w:rsid w:val="00670939"/>
    <w:rsid w:val="00672E41"/>
    <w:rsid w:val="0067309B"/>
    <w:rsid w:val="00674073"/>
    <w:rsid w:val="006752A8"/>
    <w:rsid w:val="00676842"/>
    <w:rsid w:val="0068167D"/>
    <w:rsid w:val="006829B3"/>
    <w:rsid w:val="00684380"/>
    <w:rsid w:val="0068518B"/>
    <w:rsid w:val="00685D46"/>
    <w:rsid w:val="00686109"/>
    <w:rsid w:val="0068764A"/>
    <w:rsid w:val="0068792D"/>
    <w:rsid w:val="00690BD1"/>
    <w:rsid w:val="00691C39"/>
    <w:rsid w:val="00695EA6"/>
    <w:rsid w:val="0069737D"/>
    <w:rsid w:val="006A0DB7"/>
    <w:rsid w:val="006A285A"/>
    <w:rsid w:val="006A3171"/>
    <w:rsid w:val="006A41CD"/>
    <w:rsid w:val="006A54A8"/>
    <w:rsid w:val="006A5F90"/>
    <w:rsid w:val="006A68BE"/>
    <w:rsid w:val="006A6F9F"/>
    <w:rsid w:val="006B0105"/>
    <w:rsid w:val="006B0A7E"/>
    <w:rsid w:val="006B2B4D"/>
    <w:rsid w:val="006B3A7D"/>
    <w:rsid w:val="006B4ABB"/>
    <w:rsid w:val="006B5A7D"/>
    <w:rsid w:val="006B7BFE"/>
    <w:rsid w:val="006C0026"/>
    <w:rsid w:val="006C0602"/>
    <w:rsid w:val="006C2B04"/>
    <w:rsid w:val="006C2D90"/>
    <w:rsid w:val="006C36DF"/>
    <w:rsid w:val="006C5835"/>
    <w:rsid w:val="006D0A82"/>
    <w:rsid w:val="006D0D6A"/>
    <w:rsid w:val="006D16E8"/>
    <w:rsid w:val="006D285D"/>
    <w:rsid w:val="006D30A4"/>
    <w:rsid w:val="006D344A"/>
    <w:rsid w:val="006D4AC3"/>
    <w:rsid w:val="006D5524"/>
    <w:rsid w:val="006E0996"/>
    <w:rsid w:val="006E18F1"/>
    <w:rsid w:val="006E1917"/>
    <w:rsid w:val="006E1A80"/>
    <w:rsid w:val="006E3860"/>
    <w:rsid w:val="006E5816"/>
    <w:rsid w:val="006F0610"/>
    <w:rsid w:val="006F1080"/>
    <w:rsid w:val="006F488A"/>
    <w:rsid w:val="006F4E83"/>
    <w:rsid w:val="006F575A"/>
    <w:rsid w:val="006F6D20"/>
    <w:rsid w:val="0070040A"/>
    <w:rsid w:val="007025D6"/>
    <w:rsid w:val="0070360C"/>
    <w:rsid w:val="007044DD"/>
    <w:rsid w:val="0070535D"/>
    <w:rsid w:val="0071176A"/>
    <w:rsid w:val="007123AA"/>
    <w:rsid w:val="00714499"/>
    <w:rsid w:val="00715754"/>
    <w:rsid w:val="007159D9"/>
    <w:rsid w:val="00717103"/>
    <w:rsid w:val="0071724E"/>
    <w:rsid w:val="007175FA"/>
    <w:rsid w:val="007203DC"/>
    <w:rsid w:val="00721080"/>
    <w:rsid w:val="007238D0"/>
    <w:rsid w:val="007244D3"/>
    <w:rsid w:val="0072603A"/>
    <w:rsid w:val="00726385"/>
    <w:rsid w:val="0072643E"/>
    <w:rsid w:val="00730B34"/>
    <w:rsid w:val="00731D45"/>
    <w:rsid w:val="007325F7"/>
    <w:rsid w:val="0074174D"/>
    <w:rsid w:val="00744242"/>
    <w:rsid w:val="007455BC"/>
    <w:rsid w:val="007457C3"/>
    <w:rsid w:val="00745B14"/>
    <w:rsid w:val="00746B84"/>
    <w:rsid w:val="00747E16"/>
    <w:rsid w:val="007502AB"/>
    <w:rsid w:val="00750885"/>
    <w:rsid w:val="00751D3A"/>
    <w:rsid w:val="007524D6"/>
    <w:rsid w:val="007527CA"/>
    <w:rsid w:val="007551C5"/>
    <w:rsid w:val="00762301"/>
    <w:rsid w:val="0076253F"/>
    <w:rsid w:val="007645C3"/>
    <w:rsid w:val="007657D7"/>
    <w:rsid w:val="00766481"/>
    <w:rsid w:val="007714E6"/>
    <w:rsid w:val="00771D90"/>
    <w:rsid w:val="00771D96"/>
    <w:rsid w:val="007773DA"/>
    <w:rsid w:val="007808C3"/>
    <w:rsid w:val="00781932"/>
    <w:rsid w:val="00782DB8"/>
    <w:rsid w:val="00784DCE"/>
    <w:rsid w:val="00785BC5"/>
    <w:rsid w:val="00792CC1"/>
    <w:rsid w:val="00792E5D"/>
    <w:rsid w:val="00792FCB"/>
    <w:rsid w:val="00792FF2"/>
    <w:rsid w:val="00793418"/>
    <w:rsid w:val="00795929"/>
    <w:rsid w:val="0079611E"/>
    <w:rsid w:val="007961B5"/>
    <w:rsid w:val="007A005F"/>
    <w:rsid w:val="007A0606"/>
    <w:rsid w:val="007A063D"/>
    <w:rsid w:val="007A0D53"/>
    <w:rsid w:val="007A2D42"/>
    <w:rsid w:val="007A3743"/>
    <w:rsid w:val="007A41CE"/>
    <w:rsid w:val="007A69D4"/>
    <w:rsid w:val="007A70A2"/>
    <w:rsid w:val="007B07B5"/>
    <w:rsid w:val="007B3C0A"/>
    <w:rsid w:val="007B445D"/>
    <w:rsid w:val="007B54B1"/>
    <w:rsid w:val="007B59AA"/>
    <w:rsid w:val="007B76D8"/>
    <w:rsid w:val="007C23BD"/>
    <w:rsid w:val="007C4BB1"/>
    <w:rsid w:val="007C4F85"/>
    <w:rsid w:val="007C6963"/>
    <w:rsid w:val="007C74D2"/>
    <w:rsid w:val="007C7F1C"/>
    <w:rsid w:val="007D019F"/>
    <w:rsid w:val="007D4274"/>
    <w:rsid w:val="007D62C8"/>
    <w:rsid w:val="007D7283"/>
    <w:rsid w:val="007E0D69"/>
    <w:rsid w:val="007E0DCB"/>
    <w:rsid w:val="007E46B7"/>
    <w:rsid w:val="007E7832"/>
    <w:rsid w:val="007E78F4"/>
    <w:rsid w:val="007F06D6"/>
    <w:rsid w:val="007F0AA3"/>
    <w:rsid w:val="007F0AFA"/>
    <w:rsid w:val="007F1EE0"/>
    <w:rsid w:val="007F4CA2"/>
    <w:rsid w:val="007F5E10"/>
    <w:rsid w:val="00801A1A"/>
    <w:rsid w:val="00801A46"/>
    <w:rsid w:val="00801DB1"/>
    <w:rsid w:val="00802A73"/>
    <w:rsid w:val="00807420"/>
    <w:rsid w:val="008079DA"/>
    <w:rsid w:val="00811062"/>
    <w:rsid w:val="00811AD2"/>
    <w:rsid w:val="00813701"/>
    <w:rsid w:val="008205A3"/>
    <w:rsid w:val="0082084C"/>
    <w:rsid w:val="00821505"/>
    <w:rsid w:val="00822516"/>
    <w:rsid w:val="00822945"/>
    <w:rsid w:val="0082615D"/>
    <w:rsid w:val="008268CB"/>
    <w:rsid w:val="00830763"/>
    <w:rsid w:val="00830B26"/>
    <w:rsid w:val="00831239"/>
    <w:rsid w:val="008313E5"/>
    <w:rsid w:val="00832C97"/>
    <w:rsid w:val="008344FF"/>
    <w:rsid w:val="00834AC8"/>
    <w:rsid w:val="00835336"/>
    <w:rsid w:val="00841A35"/>
    <w:rsid w:val="00842E7C"/>
    <w:rsid w:val="008437BA"/>
    <w:rsid w:val="0084437F"/>
    <w:rsid w:val="00844B3E"/>
    <w:rsid w:val="00845C80"/>
    <w:rsid w:val="00846D30"/>
    <w:rsid w:val="008510B2"/>
    <w:rsid w:val="0085229D"/>
    <w:rsid w:val="0085740E"/>
    <w:rsid w:val="008603AE"/>
    <w:rsid w:val="00866F39"/>
    <w:rsid w:val="00867CDF"/>
    <w:rsid w:val="008700CF"/>
    <w:rsid w:val="00871627"/>
    <w:rsid w:val="00875660"/>
    <w:rsid w:val="00876841"/>
    <w:rsid w:val="00876D7F"/>
    <w:rsid w:val="008772C2"/>
    <w:rsid w:val="00877633"/>
    <w:rsid w:val="008805D4"/>
    <w:rsid w:val="00880BC7"/>
    <w:rsid w:val="00880D16"/>
    <w:rsid w:val="008820EE"/>
    <w:rsid w:val="00882654"/>
    <w:rsid w:val="00882B60"/>
    <w:rsid w:val="00882C57"/>
    <w:rsid w:val="008847F0"/>
    <w:rsid w:val="008852EE"/>
    <w:rsid w:val="00885CEB"/>
    <w:rsid w:val="00893E8D"/>
    <w:rsid w:val="00894B25"/>
    <w:rsid w:val="008968BA"/>
    <w:rsid w:val="008970F0"/>
    <w:rsid w:val="0089773F"/>
    <w:rsid w:val="00897C6C"/>
    <w:rsid w:val="008A0553"/>
    <w:rsid w:val="008A167F"/>
    <w:rsid w:val="008A2456"/>
    <w:rsid w:val="008A309A"/>
    <w:rsid w:val="008A3351"/>
    <w:rsid w:val="008A4620"/>
    <w:rsid w:val="008A46F3"/>
    <w:rsid w:val="008A4F9B"/>
    <w:rsid w:val="008A56B1"/>
    <w:rsid w:val="008A5A9E"/>
    <w:rsid w:val="008B208F"/>
    <w:rsid w:val="008B2373"/>
    <w:rsid w:val="008B2E98"/>
    <w:rsid w:val="008B33A7"/>
    <w:rsid w:val="008B3AF2"/>
    <w:rsid w:val="008B58B3"/>
    <w:rsid w:val="008C21F2"/>
    <w:rsid w:val="008C3325"/>
    <w:rsid w:val="008C45FE"/>
    <w:rsid w:val="008C523F"/>
    <w:rsid w:val="008C5511"/>
    <w:rsid w:val="008C57FF"/>
    <w:rsid w:val="008C5A4C"/>
    <w:rsid w:val="008C6114"/>
    <w:rsid w:val="008C66FD"/>
    <w:rsid w:val="008C73F6"/>
    <w:rsid w:val="008D0726"/>
    <w:rsid w:val="008D0FA0"/>
    <w:rsid w:val="008D28DF"/>
    <w:rsid w:val="008D5DB8"/>
    <w:rsid w:val="008D603F"/>
    <w:rsid w:val="008E0723"/>
    <w:rsid w:val="008E1F62"/>
    <w:rsid w:val="008E3375"/>
    <w:rsid w:val="008E3670"/>
    <w:rsid w:val="008E3980"/>
    <w:rsid w:val="008E4A80"/>
    <w:rsid w:val="008E4FEC"/>
    <w:rsid w:val="008E6491"/>
    <w:rsid w:val="008E7812"/>
    <w:rsid w:val="008F1209"/>
    <w:rsid w:val="008F1474"/>
    <w:rsid w:val="008F3148"/>
    <w:rsid w:val="008F4616"/>
    <w:rsid w:val="008F5295"/>
    <w:rsid w:val="008F5AE4"/>
    <w:rsid w:val="008F5B8E"/>
    <w:rsid w:val="008F7DD4"/>
    <w:rsid w:val="009039DF"/>
    <w:rsid w:val="00904335"/>
    <w:rsid w:val="009044CE"/>
    <w:rsid w:val="00905289"/>
    <w:rsid w:val="009057E0"/>
    <w:rsid w:val="0090632F"/>
    <w:rsid w:val="00910729"/>
    <w:rsid w:val="009125FF"/>
    <w:rsid w:val="009141C4"/>
    <w:rsid w:val="0091460F"/>
    <w:rsid w:val="00915BCD"/>
    <w:rsid w:val="009162FD"/>
    <w:rsid w:val="00916444"/>
    <w:rsid w:val="00920A02"/>
    <w:rsid w:val="00920BA3"/>
    <w:rsid w:val="009242F8"/>
    <w:rsid w:val="00924602"/>
    <w:rsid w:val="009262C4"/>
    <w:rsid w:val="00927F80"/>
    <w:rsid w:val="00931408"/>
    <w:rsid w:val="00933575"/>
    <w:rsid w:val="00933F9B"/>
    <w:rsid w:val="00934F59"/>
    <w:rsid w:val="00934F9B"/>
    <w:rsid w:val="00937A79"/>
    <w:rsid w:val="0094066E"/>
    <w:rsid w:val="0095145E"/>
    <w:rsid w:val="00951E58"/>
    <w:rsid w:val="00953B85"/>
    <w:rsid w:val="00955DA0"/>
    <w:rsid w:val="00956AEC"/>
    <w:rsid w:val="00956C26"/>
    <w:rsid w:val="009630A6"/>
    <w:rsid w:val="00963248"/>
    <w:rsid w:val="0096489B"/>
    <w:rsid w:val="00965ED6"/>
    <w:rsid w:val="00966C28"/>
    <w:rsid w:val="00970C8E"/>
    <w:rsid w:val="00972393"/>
    <w:rsid w:val="00980F9C"/>
    <w:rsid w:val="009833A9"/>
    <w:rsid w:val="00984372"/>
    <w:rsid w:val="009852F6"/>
    <w:rsid w:val="009855DE"/>
    <w:rsid w:val="00985CAE"/>
    <w:rsid w:val="00991082"/>
    <w:rsid w:val="0099251F"/>
    <w:rsid w:val="009925D7"/>
    <w:rsid w:val="00992F26"/>
    <w:rsid w:val="00993F1A"/>
    <w:rsid w:val="00994D62"/>
    <w:rsid w:val="00994E16"/>
    <w:rsid w:val="0099785B"/>
    <w:rsid w:val="009A5127"/>
    <w:rsid w:val="009A5DEF"/>
    <w:rsid w:val="009A6079"/>
    <w:rsid w:val="009B2985"/>
    <w:rsid w:val="009B2A89"/>
    <w:rsid w:val="009B457E"/>
    <w:rsid w:val="009B68E1"/>
    <w:rsid w:val="009B724B"/>
    <w:rsid w:val="009C13F8"/>
    <w:rsid w:val="009C542C"/>
    <w:rsid w:val="009C5E30"/>
    <w:rsid w:val="009C7277"/>
    <w:rsid w:val="009C76CC"/>
    <w:rsid w:val="009C76CE"/>
    <w:rsid w:val="009D0068"/>
    <w:rsid w:val="009D0F6C"/>
    <w:rsid w:val="009D120E"/>
    <w:rsid w:val="009D4ED7"/>
    <w:rsid w:val="009D67E1"/>
    <w:rsid w:val="009D6C79"/>
    <w:rsid w:val="009D7B41"/>
    <w:rsid w:val="009E101F"/>
    <w:rsid w:val="009E5E0A"/>
    <w:rsid w:val="009F06A6"/>
    <w:rsid w:val="009F0936"/>
    <w:rsid w:val="009F2614"/>
    <w:rsid w:val="009F3044"/>
    <w:rsid w:val="009F3A4B"/>
    <w:rsid w:val="009F5B8C"/>
    <w:rsid w:val="009F766A"/>
    <w:rsid w:val="00A00E0B"/>
    <w:rsid w:val="00A00E54"/>
    <w:rsid w:val="00A0194B"/>
    <w:rsid w:val="00A01B56"/>
    <w:rsid w:val="00A02407"/>
    <w:rsid w:val="00A04AB1"/>
    <w:rsid w:val="00A05CBE"/>
    <w:rsid w:val="00A06BF2"/>
    <w:rsid w:val="00A07BE4"/>
    <w:rsid w:val="00A11AA8"/>
    <w:rsid w:val="00A11FB7"/>
    <w:rsid w:val="00A124F6"/>
    <w:rsid w:val="00A126B6"/>
    <w:rsid w:val="00A15667"/>
    <w:rsid w:val="00A15C0A"/>
    <w:rsid w:val="00A16C42"/>
    <w:rsid w:val="00A17AF2"/>
    <w:rsid w:val="00A17D6A"/>
    <w:rsid w:val="00A20D5C"/>
    <w:rsid w:val="00A21D77"/>
    <w:rsid w:val="00A230D8"/>
    <w:rsid w:val="00A23EA1"/>
    <w:rsid w:val="00A2413C"/>
    <w:rsid w:val="00A247E7"/>
    <w:rsid w:val="00A312CD"/>
    <w:rsid w:val="00A32985"/>
    <w:rsid w:val="00A33C20"/>
    <w:rsid w:val="00A346D5"/>
    <w:rsid w:val="00A3498F"/>
    <w:rsid w:val="00A34F28"/>
    <w:rsid w:val="00A362B2"/>
    <w:rsid w:val="00A40A3D"/>
    <w:rsid w:val="00A42D17"/>
    <w:rsid w:val="00A44391"/>
    <w:rsid w:val="00A455F0"/>
    <w:rsid w:val="00A4635A"/>
    <w:rsid w:val="00A46E20"/>
    <w:rsid w:val="00A47363"/>
    <w:rsid w:val="00A47E9B"/>
    <w:rsid w:val="00A50516"/>
    <w:rsid w:val="00A516E7"/>
    <w:rsid w:val="00A52DA6"/>
    <w:rsid w:val="00A53177"/>
    <w:rsid w:val="00A53498"/>
    <w:rsid w:val="00A53FF2"/>
    <w:rsid w:val="00A55582"/>
    <w:rsid w:val="00A55B99"/>
    <w:rsid w:val="00A60749"/>
    <w:rsid w:val="00A615ED"/>
    <w:rsid w:val="00A64286"/>
    <w:rsid w:val="00A64636"/>
    <w:rsid w:val="00A649AF"/>
    <w:rsid w:val="00A656EE"/>
    <w:rsid w:val="00A674E5"/>
    <w:rsid w:val="00A70BF9"/>
    <w:rsid w:val="00A71FCD"/>
    <w:rsid w:val="00A727F9"/>
    <w:rsid w:val="00A742D1"/>
    <w:rsid w:val="00A75B06"/>
    <w:rsid w:val="00A7732E"/>
    <w:rsid w:val="00A807C3"/>
    <w:rsid w:val="00A82032"/>
    <w:rsid w:val="00A83187"/>
    <w:rsid w:val="00A834B0"/>
    <w:rsid w:val="00A83E5C"/>
    <w:rsid w:val="00A8672A"/>
    <w:rsid w:val="00A876CD"/>
    <w:rsid w:val="00A9348F"/>
    <w:rsid w:val="00A93EAB"/>
    <w:rsid w:val="00A94A10"/>
    <w:rsid w:val="00A967E7"/>
    <w:rsid w:val="00AA2D59"/>
    <w:rsid w:val="00AA4159"/>
    <w:rsid w:val="00AA71DC"/>
    <w:rsid w:val="00AA7271"/>
    <w:rsid w:val="00AA7937"/>
    <w:rsid w:val="00AA79DE"/>
    <w:rsid w:val="00AA7D91"/>
    <w:rsid w:val="00AB1802"/>
    <w:rsid w:val="00AB2305"/>
    <w:rsid w:val="00AB2E56"/>
    <w:rsid w:val="00AB3499"/>
    <w:rsid w:val="00AB41A3"/>
    <w:rsid w:val="00AC145D"/>
    <w:rsid w:val="00AC26C4"/>
    <w:rsid w:val="00AC48B7"/>
    <w:rsid w:val="00AC4CDD"/>
    <w:rsid w:val="00AD191B"/>
    <w:rsid w:val="00AD4312"/>
    <w:rsid w:val="00AD520A"/>
    <w:rsid w:val="00AD746D"/>
    <w:rsid w:val="00AD7658"/>
    <w:rsid w:val="00AE1C67"/>
    <w:rsid w:val="00AE1D43"/>
    <w:rsid w:val="00AE2243"/>
    <w:rsid w:val="00AE2F08"/>
    <w:rsid w:val="00AE561A"/>
    <w:rsid w:val="00AE5A3A"/>
    <w:rsid w:val="00AF00CA"/>
    <w:rsid w:val="00AF3A59"/>
    <w:rsid w:val="00AF5F9B"/>
    <w:rsid w:val="00AF6691"/>
    <w:rsid w:val="00B0470A"/>
    <w:rsid w:val="00B06326"/>
    <w:rsid w:val="00B075AD"/>
    <w:rsid w:val="00B142E2"/>
    <w:rsid w:val="00B15482"/>
    <w:rsid w:val="00B162D5"/>
    <w:rsid w:val="00B17D99"/>
    <w:rsid w:val="00B20AD4"/>
    <w:rsid w:val="00B20CB1"/>
    <w:rsid w:val="00B20CBE"/>
    <w:rsid w:val="00B21B7C"/>
    <w:rsid w:val="00B21CDD"/>
    <w:rsid w:val="00B23BC7"/>
    <w:rsid w:val="00B25AB0"/>
    <w:rsid w:val="00B268C4"/>
    <w:rsid w:val="00B30DAF"/>
    <w:rsid w:val="00B30FEC"/>
    <w:rsid w:val="00B31537"/>
    <w:rsid w:val="00B32656"/>
    <w:rsid w:val="00B33815"/>
    <w:rsid w:val="00B3405B"/>
    <w:rsid w:val="00B34179"/>
    <w:rsid w:val="00B3443C"/>
    <w:rsid w:val="00B3488B"/>
    <w:rsid w:val="00B34C15"/>
    <w:rsid w:val="00B364AF"/>
    <w:rsid w:val="00B373D8"/>
    <w:rsid w:val="00B40815"/>
    <w:rsid w:val="00B4088A"/>
    <w:rsid w:val="00B43912"/>
    <w:rsid w:val="00B43B69"/>
    <w:rsid w:val="00B50320"/>
    <w:rsid w:val="00B51C5C"/>
    <w:rsid w:val="00B52F60"/>
    <w:rsid w:val="00B5347F"/>
    <w:rsid w:val="00B53726"/>
    <w:rsid w:val="00B55F59"/>
    <w:rsid w:val="00B62F50"/>
    <w:rsid w:val="00B6322A"/>
    <w:rsid w:val="00B63A78"/>
    <w:rsid w:val="00B642FE"/>
    <w:rsid w:val="00B64A26"/>
    <w:rsid w:val="00B66147"/>
    <w:rsid w:val="00B66904"/>
    <w:rsid w:val="00B710E4"/>
    <w:rsid w:val="00B71B3D"/>
    <w:rsid w:val="00B72302"/>
    <w:rsid w:val="00B74D5B"/>
    <w:rsid w:val="00B74FEB"/>
    <w:rsid w:val="00B77272"/>
    <w:rsid w:val="00B83595"/>
    <w:rsid w:val="00B83860"/>
    <w:rsid w:val="00B83999"/>
    <w:rsid w:val="00B8445A"/>
    <w:rsid w:val="00B855B8"/>
    <w:rsid w:val="00B85B58"/>
    <w:rsid w:val="00B86142"/>
    <w:rsid w:val="00B86CA6"/>
    <w:rsid w:val="00B90D4D"/>
    <w:rsid w:val="00B93D19"/>
    <w:rsid w:val="00B9417E"/>
    <w:rsid w:val="00BA1947"/>
    <w:rsid w:val="00BA2E9C"/>
    <w:rsid w:val="00BA3552"/>
    <w:rsid w:val="00BA3EDF"/>
    <w:rsid w:val="00BA4A7D"/>
    <w:rsid w:val="00BA692F"/>
    <w:rsid w:val="00BA6F6A"/>
    <w:rsid w:val="00BA7428"/>
    <w:rsid w:val="00BA7446"/>
    <w:rsid w:val="00BA7CC4"/>
    <w:rsid w:val="00BB11B7"/>
    <w:rsid w:val="00BB5E59"/>
    <w:rsid w:val="00BB7730"/>
    <w:rsid w:val="00BB7F37"/>
    <w:rsid w:val="00BC0D35"/>
    <w:rsid w:val="00BC2FF5"/>
    <w:rsid w:val="00BC4632"/>
    <w:rsid w:val="00BD1227"/>
    <w:rsid w:val="00BD4D75"/>
    <w:rsid w:val="00BD55BF"/>
    <w:rsid w:val="00BD68E8"/>
    <w:rsid w:val="00BE09F3"/>
    <w:rsid w:val="00BE24B7"/>
    <w:rsid w:val="00BE4946"/>
    <w:rsid w:val="00BE6757"/>
    <w:rsid w:val="00BE6A46"/>
    <w:rsid w:val="00BF1542"/>
    <w:rsid w:val="00BF1DB9"/>
    <w:rsid w:val="00BF37DF"/>
    <w:rsid w:val="00BF4507"/>
    <w:rsid w:val="00BF4FB0"/>
    <w:rsid w:val="00C02181"/>
    <w:rsid w:val="00C05A54"/>
    <w:rsid w:val="00C05A79"/>
    <w:rsid w:val="00C05DD2"/>
    <w:rsid w:val="00C07C5B"/>
    <w:rsid w:val="00C108BB"/>
    <w:rsid w:val="00C108F4"/>
    <w:rsid w:val="00C11849"/>
    <w:rsid w:val="00C118F6"/>
    <w:rsid w:val="00C12857"/>
    <w:rsid w:val="00C13A6D"/>
    <w:rsid w:val="00C14844"/>
    <w:rsid w:val="00C14C91"/>
    <w:rsid w:val="00C1569B"/>
    <w:rsid w:val="00C16E0F"/>
    <w:rsid w:val="00C17052"/>
    <w:rsid w:val="00C175CB"/>
    <w:rsid w:val="00C17EEF"/>
    <w:rsid w:val="00C202ED"/>
    <w:rsid w:val="00C2417C"/>
    <w:rsid w:val="00C24410"/>
    <w:rsid w:val="00C26090"/>
    <w:rsid w:val="00C27B78"/>
    <w:rsid w:val="00C3032F"/>
    <w:rsid w:val="00C30354"/>
    <w:rsid w:val="00C30AEA"/>
    <w:rsid w:val="00C324B6"/>
    <w:rsid w:val="00C3391D"/>
    <w:rsid w:val="00C3423A"/>
    <w:rsid w:val="00C344ED"/>
    <w:rsid w:val="00C352DC"/>
    <w:rsid w:val="00C373E3"/>
    <w:rsid w:val="00C4189A"/>
    <w:rsid w:val="00C43C75"/>
    <w:rsid w:val="00C43CEF"/>
    <w:rsid w:val="00C43D6B"/>
    <w:rsid w:val="00C44969"/>
    <w:rsid w:val="00C50011"/>
    <w:rsid w:val="00C52C3B"/>
    <w:rsid w:val="00C52E04"/>
    <w:rsid w:val="00C54293"/>
    <w:rsid w:val="00C546B3"/>
    <w:rsid w:val="00C55584"/>
    <w:rsid w:val="00C55CE1"/>
    <w:rsid w:val="00C55EF1"/>
    <w:rsid w:val="00C56CDA"/>
    <w:rsid w:val="00C60438"/>
    <w:rsid w:val="00C60EA6"/>
    <w:rsid w:val="00C611EC"/>
    <w:rsid w:val="00C6152A"/>
    <w:rsid w:val="00C6192E"/>
    <w:rsid w:val="00C62C9B"/>
    <w:rsid w:val="00C6381E"/>
    <w:rsid w:val="00C63D72"/>
    <w:rsid w:val="00C64944"/>
    <w:rsid w:val="00C66AED"/>
    <w:rsid w:val="00C705DB"/>
    <w:rsid w:val="00C70736"/>
    <w:rsid w:val="00C7130C"/>
    <w:rsid w:val="00C7153A"/>
    <w:rsid w:val="00C74184"/>
    <w:rsid w:val="00C74649"/>
    <w:rsid w:val="00C779FC"/>
    <w:rsid w:val="00C80BB3"/>
    <w:rsid w:val="00C87D30"/>
    <w:rsid w:val="00C87F81"/>
    <w:rsid w:val="00C909F0"/>
    <w:rsid w:val="00C90FE1"/>
    <w:rsid w:val="00C9334F"/>
    <w:rsid w:val="00C9690A"/>
    <w:rsid w:val="00C97497"/>
    <w:rsid w:val="00CA1148"/>
    <w:rsid w:val="00CA1436"/>
    <w:rsid w:val="00CA1911"/>
    <w:rsid w:val="00CA2C72"/>
    <w:rsid w:val="00CA35A4"/>
    <w:rsid w:val="00CA4016"/>
    <w:rsid w:val="00CA4405"/>
    <w:rsid w:val="00CA44A9"/>
    <w:rsid w:val="00CA46B0"/>
    <w:rsid w:val="00CA5707"/>
    <w:rsid w:val="00CA57CF"/>
    <w:rsid w:val="00CA6697"/>
    <w:rsid w:val="00CB0E13"/>
    <w:rsid w:val="00CB257C"/>
    <w:rsid w:val="00CB2BD4"/>
    <w:rsid w:val="00CB4056"/>
    <w:rsid w:val="00CB6105"/>
    <w:rsid w:val="00CB7A1F"/>
    <w:rsid w:val="00CC0683"/>
    <w:rsid w:val="00CC078C"/>
    <w:rsid w:val="00CC117C"/>
    <w:rsid w:val="00CC1D24"/>
    <w:rsid w:val="00CC2499"/>
    <w:rsid w:val="00CC2E47"/>
    <w:rsid w:val="00CC3A91"/>
    <w:rsid w:val="00CC496E"/>
    <w:rsid w:val="00CC5352"/>
    <w:rsid w:val="00CC53EB"/>
    <w:rsid w:val="00CC56D0"/>
    <w:rsid w:val="00CC5FF3"/>
    <w:rsid w:val="00CC60B2"/>
    <w:rsid w:val="00CC69A4"/>
    <w:rsid w:val="00CC72A1"/>
    <w:rsid w:val="00CD0541"/>
    <w:rsid w:val="00CD1768"/>
    <w:rsid w:val="00CD3DF0"/>
    <w:rsid w:val="00CD4175"/>
    <w:rsid w:val="00CD46C9"/>
    <w:rsid w:val="00CD508B"/>
    <w:rsid w:val="00CD768A"/>
    <w:rsid w:val="00CD7BD5"/>
    <w:rsid w:val="00CE0077"/>
    <w:rsid w:val="00CE097D"/>
    <w:rsid w:val="00CE176A"/>
    <w:rsid w:val="00CE48F2"/>
    <w:rsid w:val="00CE7466"/>
    <w:rsid w:val="00CF07D1"/>
    <w:rsid w:val="00CF173F"/>
    <w:rsid w:val="00CF2C10"/>
    <w:rsid w:val="00CF4A53"/>
    <w:rsid w:val="00CF6A4D"/>
    <w:rsid w:val="00D02C30"/>
    <w:rsid w:val="00D04D9C"/>
    <w:rsid w:val="00D05C36"/>
    <w:rsid w:val="00D07136"/>
    <w:rsid w:val="00D072D1"/>
    <w:rsid w:val="00D14C9E"/>
    <w:rsid w:val="00D14D8D"/>
    <w:rsid w:val="00D15211"/>
    <w:rsid w:val="00D1580E"/>
    <w:rsid w:val="00D20110"/>
    <w:rsid w:val="00D20605"/>
    <w:rsid w:val="00D20E77"/>
    <w:rsid w:val="00D20F59"/>
    <w:rsid w:val="00D22305"/>
    <w:rsid w:val="00D2406D"/>
    <w:rsid w:val="00D25EDD"/>
    <w:rsid w:val="00D27086"/>
    <w:rsid w:val="00D27347"/>
    <w:rsid w:val="00D276FC"/>
    <w:rsid w:val="00D30505"/>
    <w:rsid w:val="00D3057D"/>
    <w:rsid w:val="00D370FD"/>
    <w:rsid w:val="00D42167"/>
    <w:rsid w:val="00D4299C"/>
    <w:rsid w:val="00D454BD"/>
    <w:rsid w:val="00D47746"/>
    <w:rsid w:val="00D47CDE"/>
    <w:rsid w:val="00D50A8A"/>
    <w:rsid w:val="00D51FAB"/>
    <w:rsid w:val="00D54AF1"/>
    <w:rsid w:val="00D55621"/>
    <w:rsid w:val="00D55A0E"/>
    <w:rsid w:val="00D573AB"/>
    <w:rsid w:val="00D57FC2"/>
    <w:rsid w:val="00D6128F"/>
    <w:rsid w:val="00D62082"/>
    <w:rsid w:val="00D62304"/>
    <w:rsid w:val="00D629EE"/>
    <w:rsid w:val="00D63B0C"/>
    <w:rsid w:val="00D64680"/>
    <w:rsid w:val="00D66159"/>
    <w:rsid w:val="00D66B81"/>
    <w:rsid w:val="00D7027C"/>
    <w:rsid w:val="00D72A56"/>
    <w:rsid w:val="00D72C52"/>
    <w:rsid w:val="00D72D49"/>
    <w:rsid w:val="00D732DF"/>
    <w:rsid w:val="00D7405A"/>
    <w:rsid w:val="00D76791"/>
    <w:rsid w:val="00D77DCB"/>
    <w:rsid w:val="00D83E36"/>
    <w:rsid w:val="00D854D6"/>
    <w:rsid w:val="00D90498"/>
    <w:rsid w:val="00D9116A"/>
    <w:rsid w:val="00D917BA"/>
    <w:rsid w:val="00D91A60"/>
    <w:rsid w:val="00D92596"/>
    <w:rsid w:val="00D9328C"/>
    <w:rsid w:val="00D93F51"/>
    <w:rsid w:val="00D953CC"/>
    <w:rsid w:val="00D95F97"/>
    <w:rsid w:val="00D9615F"/>
    <w:rsid w:val="00D96F19"/>
    <w:rsid w:val="00D9774B"/>
    <w:rsid w:val="00D97776"/>
    <w:rsid w:val="00D978E5"/>
    <w:rsid w:val="00D97F79"/>
    <w:rsid w:val="00DA0309"/>
    <w:rsid w:val="00DA11F8"/>
    <w:rsid w:val="00DA1870"/>
    <w:rsid w:val="00DA4D74"/>
    <w:rsid w:val="00DA5B5E"/>
    <w:rsid w:val="00DA7EB9"/>
    <w:rsid w:val="00DB0113"/>
    <w:rsid w:val="00DB090F"/>
    <w:rsid w:val="00DB196B"/>
    <w:rsid w:val="00DB3078"/>
    <w:rsid w:val="00DB3200"/>
    <w:rsid w:val="00DB3293"/>
    <w:rsid w:val="00DB487F"/>
    <w:rsid w:val="00DB48AC"/>
    <w:rsid w:val="00DB5CA9"/>
    <w:rsid w:val="00DB60C6"/>
    <w:rsid w:val="00DB6B0F"/>
    <w:rsid w:val="00DC00B5"/>
    <w:rsid w:val="00DC0702"/>
    <w:rsid w:val="00DC1ADE"/>
    <w:rsid w:val="00DC257E"/>
    <w:rsid w:val="00DC320B"/>
    <w:rsid w:val="00DC3422"/>
    <w:rsid w:val="00DC4894"/>
    <w:rsid w:val="00DC4F31"/>
    <w:rsid w:val="00DC691E"/>
    <w:rsid w:val="00DC6B01"/>
    <w:rsid w:val="00DC6C2F"/>
    <w:rsid w:val="00DC70DC"/>
    <w:rsid w:val="00DD0B41"/>
    <w:rsid w:val="00DD397A"/>
    <w:rsid w:val="00DD5BB4"/>
    <w:rsid w:val="00DD681F"/>
    <w:rsid w:val="00DD7BDE"/>
    <w:rsid w:val="00DE0398"/>
    <w:rsid w:val="00DE0E30"/>
    <w:rsid w:val="00DE2A95"/>
    <w:rsid w:val="00DE345B"/>
    <w:rsid w:val="00DE519B"/>
    <w:rsid w:val="00DE5371"/>
    <w:rsid w:val="00DE60AC"/>
    <w:rsid w:val="00DE7B70"/>
    <w:rsid w:val="00DE7C31"/>
    <w:rsid w:val="00DF1720"/>
    <w:rsid w:val="00DF3793"/>
    <w:rsid w:val="00DF41EA"/>
    <w:rsid w:val="00DF4F2F"/>
    <w:rsid w:val="00DF5DBD"/>
    <w:rsid w:val="00DF6F7F"/>
    <w:rsid w:val="00E009CD"/>
    <w:rsid w:val="00E00B84"/>
    <w:rsid w:val="00E02FF7"/>
    <w:rsid w:val="00E04A8A"/>
    <w:rsid w:val="00E04B91"/>
    <w:rsid w:val="00E055D5"/>
    <w:rsid w:val="00E07204"/>
    <w:rsid w:val="00E07EE7"/>
    <w:rsid w:val="00E111E0"/>
    <w:rsid w:val="00E118BE"/>
    <w:rsid w:val="00E1796D"/>
    <w:rsid w:val="00E2180B"/>
    <w:rsid w:val="00E219A7"/>
    <w:rsid w:val="00E24620"/>
    <w:rsid w:val="00E25F18"/>
    <w:rsid w:val="00E261B2"/>
    <w:rsid w:val="00E2631D"/>
    <w:rsid w:val="00E26CB8"/>
    <w:rsid w:val="00E3092A"/>
    <w:rsid w:val="00E30ED6"/>
    <w:rsid w:val="00E334D9"/>
    <w:rsid w:val="00E3798E"/>
    <w:rsid w:val="00E37AAE"/>
    <w:rsid w:val="00E4094C"/>
    <w:rsid w:val="00E41F33"/>
    <w:rsid w:val="00E41FAC"/>
    <w:rsid w:val="00E443AF"/>
    <w:rsid w:val="00E446C6"/>
    <w:rsid w:val="00E477C4"/>
    <w:rsid w:val="00E50C4B"/>
    <w:rsid w:val="00E50F00"/>
    <w:rsid w:val="00E51B34"/>
    <w:rsid w:val="00E51D9F"/>
    <w:rsid w:val="00E558AA"/>
    <w:rsid w:val="00E55CF1"/>
    <w:rsid w:val="00E612AE"/>
    <w:rsid w:val="00E6678F"/>
    <w:rsid w:val="00E66BC2"/>
    <w:rsid w:val="00E673D7"/>
    <w:rsid w:val="00E70E13"/>
    <w:rsid w:val="00E71F86"/>
    <w:rsid w:val="00E7208C"/>
    <w:rsid w:val="00E735FB"/>
    <w:rsid w:val="00E762E0"/>
    <w:rsid w:val="00E7636E"/>
    <w:rsid w:val="00E77666"/>
    <w:rsid w:val="00E802D9"/>
    <w:rsid w:val="00E816A5"/>
    <w:rsid w:val="00E849C5"/>
    <w:rsid w:val="00E860C5"/>
    <w:rsid w:val="00E87A65"/>
    <w:rsid w:val="00E90675"/>
    <w:rsid w:val="00E90B74"/>
    <w:rsid w:val="00E90FB8"/>
    <w:rsid w:val="00E913DA"/>
    <w:rsid w:val="00E92605"/>
    <w:rsid w:val="00E94F79"/>
    <w:rsid w:val="00E95F97"/>
    <w:rsid w:val="00E96207"/>
    <w:rsid w:val="00E97ACB"/>
    <w:rsid w:val="00E97DE0"/>
    <w:rsid w:val="00EA408F"/>
    <w:rsid w:val="00EA6822"/>
    <w:rsid w:val="00EB1908"/>
    <w:rsid w:val="00EB414A"/>
    <w:rsid w:val="00EB5381"/>
    <w:rsid w:val="00EB6E93"/>
    <w:rsid w:val="00EC33AC"/>
    <w:rsid w:val="00EC3EA3"/>
    <w:rsid w:val="00EC4AA2"/>
    <w:rsid w:val="00EC4ACE"/>
    <w:rsid w:val="00EC56B6"/>
    <w:rsid w:val="00EC586F"/>
    <w:rsid w:val="00EC5958"/>
    <w:rsid w:val="00EC598E"/>
    <w:rsid w:val="00EC6943"/>
    <w:rsid w:val="00EC73D1"/>
    <w:rsid w:val="00ED0161"/>
    <w:rsid w:val="00ED041B"/>
    <w:rsid w:val="00ED14BB"/>
    <w:rsid w:val="00ED4FA4"/>
    <w:rsid w:val="00ED7E4B"/>
    <w:rsid w:val="00EE18E3"/>
    <w:rsid w:val="00EE3AE4"/>
    <w:rsid w:val="00EE3EE5"/>
    <w:rsid w:val="00EE4484"/>
    <w:rsid w:val="00EE56A9"/>
    <w:rsid w:val="00EE57B2"/>
    <w:rsid w:val="00EE5920"/>
    <w:rsid w:val="00EE6FD0"/>
    <w:rsid w:val="00EE71F6"/>
    <w:rsid w:val="00EF0817"/>
    <w:rsid w:val="00EF0E1C"/>
    <w:rsid w:val="00EF2E10"/>
    <w:rsid w:val="00EF341D"/>
    <w:rsid w:val="00EF35C5"/>
    <w:rsid w:val="00EF39B3"/>
    <w:rsid w:val="00EF3A42"/>
    <w:rsid w:val="00EF47E0"/>
    <w:rsid w:val="00EF58A5"/>
    <w:rsid w:val="00F01B51"/>
    <w:rsid w:val="00F10063"/>
    <w:rsid w:val="00F10DE7"/>
    <w:rsid w:val="00F10EED"/>
    <w:rsid w:val="00F11036"/>
    <w:rsid w:val="00F1451A"/>
    <w:rsid w:val="00F14AD7"/>
    <w:rsid w:val="00F14E26"/>
    <w:rsid w:val="00F17BB7"/>
    <w:rsid w:val="00F17F66"/>
    <w:rsid w:val="00F2253A"/>
    <w:rsid w:val="00F22E20"/>
    <w:rsid w:val="00F23B83"/>
    <w:rsid w:val="00F23DCE"/>
    <w:rsid w:val="00F241C5"/>
    <w:rsid w:val="00F242AA"/>
    <w:rsid w:val="00F27062"/>
    <w:rsid w:val="00F347EE"/>
    <w:rsid w:val="00F3619F"/>
    <w:rsid w:val="00F37B06"/>
    <w:rsid w:val="00F40A7A"/>
    <w:rsid w:val="00F416BE"/>
    <w:rsid w:val="00F4680D"/>
    <w:rsid w:val="00F46BD1"/>
    <w:rsid w:val="00F5118C"/>
    <w:rsid w:val="00F54FBA"/>
    <w:rsid w:val="00F57B62"/>
    <w:rsid w:val="00F63E5D"/>
    <w:rsid w:val="00F64014"/>
    <w:rsid w:val="00F64594"/>
    <w:rsid w:val="00F64F8F"/>
    <w:rsid w:val="00F6576C"/>
    <w:rsid w:val="00F677A0"/>
    <w:rsid w:val="00F70E0C"/>
    <w:rsid w:val="00F71176"/>
    <w:rsid w:val="00F717B9"/>
    <w:rsid w:val="00F7236E"/>
    <w:rsid w:val="00F7262D"/>
    <w:rsid w:val="00F728DB"/>
    <w:rsid w:val="00F74257"/>
    <w:rsid w:val="00F771EC"/>
    <w:rsid w:val="00F774E6"/>
    <w:rsid w:val="00F77F29"/>
    <w:rsid w:val="00F806EB"/>
    <w:rsid w:val="00F80E1E"/>
    <w:rsid w:val="00F8239A"/>
    <w:rsid w:val="00F82430"/>
    <w:rsid w:val="00F827EE"/>
    <w:rsid w:val="00F8577B"/>
    <w:rsid w:val="00F85D5D"/>
    <w:rsid w:val="00F860AE"/>
    <w:rsid w:val="00F865CC"/>
    <w:rsid w:val="00F865D7"/>
    <w:rsid w:val="00F8687F"/>
    <w:rsid w:val="00F87DB8"/>
    <w:rsid w:val="00F9018E"/>
    <w:rsid w:val="00F90195"/>
    <w:rsid w:val="00F9094B"/>
    <w:rsid w:val="00F90D2A"/>
    <w:rsid w:val="00F922F8"/>
    <w:rsid w:val="00F945EA"/>
    <w:rsid w:val="00F94624"/>
    <w:rsid w:val="00F95894"/>
    <w:rsid w:val="00F95E7F"/>
    <w:rsid w:val="00FA0058"/>
    <w:rsid w:val="00FA26B0"/>
    <w:rsid w:val="00FA554A"/>
    <w:rsid w:val="00FA680C"/>
    <w:rsid w:val="00FB2068"/>
    <w:rsid w:val="00FB46F7"/>
    <w:rsid w:val="00FB4EAC"/>
    <w:rsid w:val="00FB546B"/>
    <w:rsid w:val="00FC0776"/>
    <w:rsid w:val="00FC2782"/>
    <w:rsid w:val="00FD378F"/>
    <w:rsid w:val="00FD40A8"/>
    <w:rsid w:val="00FD4D5F"/>
    <w:rsid w:val="00FD562B"/>
    <w:rsid w:val="00FD6CFA"/>
    <w:rsid w:val="00FD6F3F"/>
    <w:rsid w:val="00FE3470"/>
    <w:rsid w:val="00FE3835"/>
    <w:rsid w:val="00FE3973"/>
    <w:rsid w:val="00FE4BB2"/>
    <w:rsid w:val="00FE6F13"/>
    <w:rsid w:val="00FE79CC"/>
    <w:rsid w:val="00FE7F50"/>
    <w:rsid w:val="00FF39E3"/>
    <w:rsid w:val="00FF474B"/>
    <w:rsid w:val="00FF4DEF"/>
    <w:rsid w:val="00FF5B92"/>
    <w:rsid w:val="0DA824EB"/>
    <w:rsid w:val="0E89410F"/>
    <w:rsid w:val="14A871E5"/>
    <w:rsid w:val="180D1BE2"/>
    <w:rsid w:val="47C14E3E"/>
    <w:rsid w:val="639A23D0"/>
    <w:rsid w:val="685A11E7"/>
    <w:rsid w:val="711D5D8D"/>
    <w:rsid w:val="733B1C13"/>
    <w:rsid w:val="746216AC"/>
    <w:rsid w:val="76C04DEE"/>
    <w:rsid w:val="7AEE23FD"/>
    <w:rsid w:val="7CFF1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方正仿宋_GBK" w:cstheme="minorBidi"/>
      <w:kern w:val="2"/>
      <w:sz w:val="32"/>
      <w:szCs w:val="22"/>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5" w:lineRule="auto"/>
      <w:ind w:firstLine="0" w:firstLineChars="0"/>
      <w:jc w:val="center"/>
      <w:outlineLvl w:val="1"/>
    </w:pPr>
    <w:rPr>
      <w:rFonts w:asciiTheme="majorHAnsi" w:hAnsiTheme="majorHAnsi" w:eastAsiaTheme="majorEastAsia" w:cstheme="majorBidi"/>
      <w:bCs/>
      <w:szCs w:val="32"/>
    </w:rPr>
  </w:style>
  <w:style w:type="character" w:default="1" w:styleId="12">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List Bullet"/>
    <w:basedOn w:val="1"/>
    <w:unhideWhenUsed/>
    <w:qFormat/>
    <w:uiPriority w:val="99"/>
    <w:pPr>
      <w:numPr>
        <w:ilvl w:val="0"/>
        <w:numId w:val="1"/>
      </w:numPr>
      <w:contextualSpacing/>
    </w:pPr>
  </w:style>
  <w:style w:type="paragraph" w:styleId="5">
    <w:name w:val="annotation text"/>
    <w:basedOn w:val="1"/>
    <w:link w:val="17"/>
    <w:semiHidden/>
    <w:unhideWhenUsed/>
    <w:qFormat/>
    <w:uiPriority w:val="99"/>
    <w:pPr>
      <w:jc w:val="left"/>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styleId="14">
    <w:name w:val="annotation reference"/>
    <w:basedOn w:val="12"/>
    <w:semiHidden/>
    <w:unhideWhenUsed/>
    <w:qFormat/>
    <w:uiPriority w:val="99"/>
    <w:rPr>
      <w:sz w:val="21"/>
      <w:szCs w:val="21"/>
    </w:rPr>
  </w:style>
  <w:style w:type="character" w:customStyle="1" w:styleId="15">
    <w:name w:val="标题 1 字符"/>
    <w:basedOn w:val="12"/>
    <w:link w:val="2"/>
    <w:qFormat/>
    <w:uiPriority w:val="9"/>
    <w:rPr>
      <w:rFonts w:ascii="Times New Roman" w:hAnsi="Times New Roman" w:eastAsia="方正仿宋_GBK"/>
      <w:b/>
      <w:bCs/>
      <w:kern w:val="44"/>
      <w:sz w:val="44"/>
      <w:szCs w:val="44"/>
    </w:rPr>
  </w:style>
  <w:style w:type="character" w:customStyle="1" w:styleId="16">
    <w:name w:val="标题 2 字符"/>
    <w:basedOn w:val="12"/>
    <w:link w:val="3"/>
    <w:qFormat/>
    <w:uiPriority w:val="9"/>
    <w:rPr>
      <w:rFonts w:asciiTheme="majorHAnsi" w:hAnsiTheme="majorHAnsi" w:eastAsiaTheme="majorEastAsia" w:cstheme="majorBidi"/>
      <w:bCs/>
      <w:kern w:val="2"/>
      <w:sz w:val="32"/>
      <w:szCs w:val="32"/>
    </w:rPr>
  </w:style>
  <w:style w:type="character" w:customStyle="1" w:styleId="17">
    <w:name w:val="批注文字 字符"/>
    <w:basedOn w:val="12"/>
    <w:link w:val="5"/>
    <w:semiHidden/>
    <w:qFormat/>
    <w:uiPriority w:val="99"/>
    <w:rPr>
      <w:rFonts w:ascii="Times New Roman" w:hAnsi="Times New Roman" w:eastAsia="方正仿宋_GBK"/>
      <w:kern w:val="2"/>
      <w:sz w:val="32"/>
      <w:szCs w:val="22"/>
    </w:rPr>
  </w:style>
  <w:style w:type="character" w:customStyle="1" w:styleId="18">
    <w:name w:val="页脚 字符"/>
    <w:basedOn w:val="12"/>
    <w:link w:val="6"/>
    <w:qFormat/>
    <w:uiPriority w:val="99"/>
    <w:rPr>
      <w:sz w:val="18"/>
      <w:szCs w:val="18"/>
    </w:rPr>
  </w:style>
  <w:style w:type="character" w:customStyle="1" w:styleId="19">
    <w:name w:val="页眉 字符"/>
    <w:basedOn w:val="12"/>
    <w:link w:val="7"/>
    <w:qFormat/>
    <w:uiPriority w:val="99"/>
    <w:rPr>
      <w:sz w:val="18"/>
      <w:szCs w:val="18"/>
    </w:rPr>
  </w:style>
  <w:style w:type="paragraph" w:styleId="20">
    <w:name w:val="List Paragraph"/>
    <w:basedOn w:val="1"/>
    <w:qFormat/>
    <w:uiPriority w:val="34"/>
    <w:pPr>
      <w:ind w:firstLine="420"/>
    </w:pPr>
  </w:style>
  <w:style w:type="paragraph" w:customStyle="1" w:styleId="21">
    <w:name w:val="表格"/>
    <w:next w:val="4"/>
    <w:qFormat/>
    <w:uiPriority w:val="0"/>
    <w:pPr>
      <w:keepLines/>
      <w:widowControl w:val="0"/>
      <w:spacing w:line="240" w:lineRule="atLeast"/>
      <w:jc w:val="center"/>
    </w:pPr>
    <w:rPr>
      <w:rFonts w:ascii="Times New Roman" w:hAnsi="Times New Roman" w:eastAsia="仿宋" w:cs="Times New Roman"/>
      <w:kern w:val="2"/>
      <w:sz w:val="21"/>
      <w:szCs w:val="24"/>
      <w:lang w:val="en-US" w:eastAsia="zh-CN" w:bidi="ar-SA"/>
    </w:rPr>
  </w:style>
  <w:style w:type="paragraph" w:customStyle="1" w:styleId="22">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table" w:customStyle="1" w:styleId="23">
    <w:name w:val="网格型1"/>
    <w:basedOn w:val="10"/>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chart" Target="charts/chart10.xml"/><Relationship Id="rId27" Type="http://schemas.openxmlformats.org/officeDocument/2006/relationships/image" Target="media/image1.png"/><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7743;&#27941;&#21306;&#30044;&#31165;&#20859;&#27542;&#27745;&#26579;&#38450;&#27835;&#35268;&#21010;\4.&#35745;&#31639;&#25968;&#25454;\&#65288;&#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7743;&#27941;&#21306;&#30044;&#31165;&#20859;&#27542;&#27745;&#26579;&#38450;&#27835;&#35268;&#21010;\4.&#35745;&#31639;&#25968;&#25454;\&#65288;0719&#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7743;&#27941;&#21306;&#30044;&#31165;&#20859;&#27542;&#27745;&#26579;&#38450;&#27835;&#35268;&#21010;\4.&#35745;&#31639;&#25968;&#25454;\&#65288;&#21024;&#38500;&#37325;&#22797;&#39033;&#65289;&#35745;&#31639;&#25968;&#25454;&#65288;2021&#24180;5&#26376;&#27719;&#24635;&#32479;&#35745;&#29992;&#20110;&#20859;&#27542;&#27745;&#26579;&#38450;&#27835;&#21313;&#22235;&#20116;&#35268;&#21010;&#65289;%20&#27743;&#27941;&#21306;20&#22836;&#29983;&#29482;&#24403;&#37327;&#20197;&#19978;&#30340;&#30044;&#31165;&#20859;&#27542;&#22330;&#65288;&#25143;&#65289;&#24773;&#20917;&#32479;&#35745;(1)%20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三区划分现状!$K$46</c:f>
              <c:strCache>
                <c:ptCount val="1"/>
                <c:pt idx="0">
                  <c:v>禁养区</c:v>
                </c:pt>
              </c:strCache>
            </c:strRef>
          </c:tx>
          <c:spPr>
            <a:solidFill>
              <a:schemeClr val="accent1"/>
            </a:solidFill>
            <a:ln>
              <a:noFill/>
            </a:ln>
            <a:effectLst/>
          </c:spPr>
          <c:invertIfNegative val="0"/>
          <c:dLbls>
            <c:delete val="1"/>
          </c:dLbls>
          <c:cat>
            <c:strRef>
              <c:f>三区划分现状!$J$47:$J$76</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三区划分现状!$K$47:$K$76</c:f>
              <c:numCache>
                <c:formatCode>0.00_);[Red]\(0.00\)</c:formatCode>
                <c:ptCount val="30"/>
                <c:pt idx="0">
                  <c:v>95.21</c:v>
                </c:pt>
                <c:pt idx="1">
                  <c:v>3.96</c:v>
                </c:pt>
                <c:pt idx="2">
                  <c:v>15</c:v>
                </c:pt>
                <c:pt idx="3">
                  <c:v>0.39</c:v>
                </c:pt>
                <c:pt idx="4">
                  <c:v>49.05</c:v>
                </c:pt>
                <c:pt idx="5">
                  <c:v>11.69</c:v>
                </c:pt>
                <c:pt idx="6">
                  <c:v>1.96</c:v>
                </c:pt>
                <c:pt idx="7">
                  <c:v>5.68</c:v>
                </c:pt>
                <c:pt idx="8">
                  <c:v>8.3</c:v>
                </c:pt>
                <c:pt idx="9">
                  <c:v>8.82</c:v>
                </c:pt>
                <c:pt idx="10">
                  <c:v>15.6</c:v>
                </c:pt>
                <c:pt idx="11">
                  <c:v>14.87</c:v>
                </c:pt>
                <c:pt idx="12">
                  <c:v>10.6</c:v>
                </c:pt>
                <c:pt idx="13">
                  <c:v>89.67</c:v>
                </c:pt>
                <c:pt idx="14">
                  <c:v>14.83</c:v>
                </c:pt>
                <c:pt idx="15">
                  <c:v>30.48</c:v>
                </c:pt>
                <c:pt idx="16">
                  <c:v>10.6</c:v>
                </c:pt>
                <c:pt idx="17">
                  <c:v>38.35</c:v>
                </c:pt>
                <c:pt idx="18">
                  <c:v>207.9</c:v>
                </c:pt>
                <c:pt idx="19">
                  <c:v>4.36</c:v>
                </c:pt>
                <c:pt idx="20">
                  <c:v>51.07</c:v>
                </c:pt>
                <c:pt idx="21">
                  <c:v>2.72</c:v>
                </c:pt>
                <c:pt idx="22">
                  <c:v>12.54</c:v>
                </c:pt>
                <c:pt idx="23">
                  <c:v>2.93</c:v>
                </c:pt>
                <c:pt idx="24">
                  <c:v>15.42</c:v>
                </c:pt>
                <c:pt idx="25">
                  <c:v>35.98</c:v>
                </c:pt>
                <c:pt idx="26">
                  <c:v>23.77</c:v>
                </c:pt>
                <c:pt idx="27">
                  <c:v>34.35</c:v>
                </c:pt>
                <c:pt idx="28">
                  <c:v>22</c:v>
                </c:pt>
                <c:pt idx="29">
                  <c:v>7.85</c:v>
                </c:pt>
              </c:numCache>
            </c:numRef>
          </c:val>
        </c:ser>
        <c:ser>
          <c:idx val="1"/>
          <c:order val="1"/>
          <c:tx>
            <c:strRef>
              <c:f>三区划分现状!$L$46</c:f>
              <c:strCache>
                <c:ptCount val="1"/>
                <c:pt idx="0">
                  <c:v>限养区</c:v>
                </c:pt>
              </c:strCache>
            </c:strRef>
          </c:tx>
          <c:spPr>
            <a:solidFill>
              <a:schemeClr val="accent2"/>
            </a:solidFill>
            <a:ln>
              <a:noFill/>
            </a:ln>
            <a:effectLst/>
          </c:spPr>
          <c:invertIfNegative val="0"/>
          <c:dLbls>
            <c:delete val="1"/>
          </c:dLbls>
          <c:cat>
            <c:strRef>
              <c:f>三区划分现状!$J$47:$J$76</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三区划分现状!$L$47:$L$76</c:f>
              <c:numCache>
                <c:formatCode>0.00_);[Red]\(0.00\)</c:formatCode>
                <c:ptCount val="30"/>
                <c:pt idx="0">
                  <c:v>19.67</c:v>
                </c:pt>
                <c:pt idx="1">
                  <c:v>12.52</c:v>
                </c:pt>
                <c:pt idx="2">
                  <c:v>18.82</c:v>
                </c:pt>
                <c:pt idx="3">
                  <c:v>6.24</c:v>
                </c:pt>
                <c:pt idx="4">
                  <c:v>45.93</c:v>
                </c:pt>
                <c:pt idx="5">
                  <c:v>23.57</c:v>
                </c:pt>
                <c:pt idx="6">
                  <c:v>9.98</c:v>
                </c:pt>
                <c:pt idx="7">
                  <c:v>1.38</c:v>
                </c:pt>
                <c:pt idx="8">
                  <c:v>15.9</c:v>
                </c:pt>
                <c:pt idx="9">
                  <c:v>0.08</c:v>
                </c:pt>
                <c:pt idx="10">
                  <c:v>4.87</c:v>
                </c:pt>
                <c:pt idx="11">
                  <c:v>14.25</c:v>
                </c:pt>
                <c:pt idx="12">
                  <c:v>3.92</c:v>
                </c:pt>
                <c:pt idx="13">
                  <c:v>18.32</c:v>
                </c:pt>
                <c:pt idx="14">
                  <c:v>25.72</c:v>
                </c:pt>
                <c:pt idx="15">
                  <c:v>8.46</c:v>
                </c:pt>
                <c:pt idx="16">
                  <c:v>3.04</c:v>
                </c:pt>
                <c:pt idx="17">
                  <c:v>12.26</c:v>
                </c:pt>
                <c:pt idx="18">
                  <c:v>23.19</c:v>
                </c:pt>
                <c:pt idx="19">
                  <c:v>17.93</c:v>
                </c:pt>
                <c:pt idx="20">
                  <c:v>3.86</c:v>
                </c:pt>
                <c:pt idx="21">
                  <c:v>11.9</c:v>
                </c:pt>
                <c:pt idx="22">
                  <c:v>2.08</c:v>
                </c:pt>
                <c:pt idx="23">
                  <c:v>4.85</c:v>
                </c:pt>
                <c:pt idx="24">
                  <c:v>4.07</c:v>
                </c:pt>
                <c:pt idx="25">
                  <c:v>16.84</c:v>
                </c:pt>
                <c:pt idx="26">
                  <c:v>11.58</c:v>
                </c:pt>
                <c:pt idx="27">
                  <c:v>18.02</c:v>
                </c:pt>
                <c:pt idx="28">
                  <c:v>10.81</c:v>
                </c:pt>
                <c:pt idx="29">
                  <c:v>10.86</c:v>
                </c:pt>
              </c:numCache>
            </c:numRef>
          </c:val>
        </c:ser>
        <c:ser>
          <c:idx val="2"/>
          <c:order val="2"/>
          <c:tx>
            <c:strRef>
              <c:f>三区划分现状!$M$46</c:f>
              <c:strCache>
                <c:ptCount val="1"/>
                <c:pt idx="0">
                  <c:v>适养区</c:v>
                </c:pt>
              </c:strCache>
            </c:strRef>
          </c:tx>
          <c:spPr>
            <a:solidFill>
              <a:schemeClr val="accent3"/>
            </a:solidFill>
            <a:ln>
              <a:noFill/>
            </a:ln>
            <a:effectLst/>
          </c:spPr>
          <c:invertIfNegative val="0"/>
          <c:dLbls>
            <c:delete val="1"/>
          </c:dLbls>
          <c:cat>
            <c:strRef>
              <c:f>三区划分现状!$J$47:$J$76</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三区划分现状!$M$47:$M$76</c:f>
              <c:numCache>
                <c:formatCode>0.00_);[Red]\(0.00\)</c:formatCode>
                <c:ptCount val="30"/>
                <c:pt idx="0">
                  <c:v>126.4</c:v>
                </c:pt>
                <c:pt idx="1">
                  <c:v>90.18</c:v>
                </c:pt>
                <c:pt idx="2">
                  <c:v>176.36</c:v>
                </c:pt>
                <c:pt idx="3">
                  <c:v>45.04</c:v>
                </c:pt>
                <c:pt idx="4">
                  <c:v>1.11</c:v>
                </c:pt>
                <c:pt idx="5">
                  <c:v>0.33</c:v>
                </c:pt>
                <c:pt idx="6">
                  <c:v>77.56</c:v>
                </c:pt>
                <c:pt idx="7">
                  <c:v>30.44</c:v>
                </c:pt>
                <c:pt idx="8">
                  <c:v>1.01</c:v>
                </c:pt>
                <c:pt idx="9">
                  <c:v>80.09</c:v>
                </c:pt>
                <c:pt idx="10">
                  <c:v>60.43</c:v>
                </c:pt>
                <c:pt idx="11">
                  <c:v>150.47</c:v>
                </c:pt>
                <c:pt idx="12">
                  <c:v>66.21</c:v>
                </c:pt>
                <c:pt idx="13">
                  <c:v>39.98</c:v>
                </c:pt>
                <c:pt idx="14">
                  <c:v>6.46</c:v>
                </c:pt>
                <c:pt idx="15">
                  <c:v>169.98</c:v>
                </c:pt>
                <c:pt idx="16">
                  <c:v>70.71</c:v>
                </c:pt>
                <c:pt idx="17">
                  <c:v>5.76</c:v>
                </c:pt>
                <c:pt idx="18">
                  <c:v>25.03</c:v>
                </c:pt>
                <c:pt idx="19">
                  <c:v>39.12</c:v>
                </c:pt>
                <c:pt idx="20">
                  <c:v>6.37</c:v>
                </c:pt>
                <c:pt idx="21">
                  <c:v>66.25</c:v>
                </c:pt>
                <c:pt idx="22">
                  <c:v>127.3</c:v>
                </c:pt>
                <c:pt idx="23">
                  <c:v>29.34</c:v>
                </c:pt>
                <c:pt idx="24">
                  <c:v>107.19</c:v>
                </c:pt>
                <c:pt idx="25">
                  <c:v>88.8</c:v>
                </c:pt>
                <c:pt idx="26">
                  <c:v>118.31</c:v>
                </c:pt>
                <c:pt idx="27">
                  <c:v>29.34</c:v>
                </c:pt>
                <c:pt idx="28">
                  <c:v>117.28</c:v>
                </c:pt>
                <c:pt idx="29">
                  <c:v>39.32</c:v>
                </c:pt>
              </c:numCache>
            </c:numRef>
          </c:val>
        </c:ser>
        <c:dLbls>
          <c:showLegendKey val="0"/>
          <c:showVal val="0"/>
          <c:showCatName val="0"/>
          <c:showSerName val="0"/>
          <c:showPercent val="0"/>
          <c:showBubbleSize val="0"/>
        </c:dLbls>
        <c:gapWidth val="219"/>
        <c:axId val="820290512"/>
        <c:axId val="820294256"/>
      </c:barChart>
      <c:catAx>
        <c:axId val="82029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820294256"/>
        <c:crosses val="autoZero"/>
        <c:auto val="1"/>
        <c:lblAlgn val="ctr"/>
        <c:lblOffset val="100"/>
        <c:noMultiLvlLbl val="0"/>
      </c:catAx>
      <c:valAx>
        <c:axId val="820294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r>
                  <a:rPr lang="zh-CN" altLang="en-US">
                    <a:solidFill>
                      <a:sysClr val="windowText" lastClr="000000"/>
                    </a:solidFill>
                    <a:latin typeface="方正楷体_GBK" panose="03000509000000000000" pitchFamily="4" charset="-122"/>
                    <a:ea typeface="方正楷体_GBK" panose="03000509000000000000" pitchFamily="4" charset="-122"/>
                  </a:rPr>
                  <a:t>面积（</a:t>
                </a:r>
                <a:r>
                  <a:rPr lang="en-US" altLang="zh-CN">
                    <a:solidFill>
                      <a:sysClr val="windowText" lastClr="000000"/>
                    </a:solidFill>
                    <a:latin typeface="方正楷体_GBK" panose="03000509000000000000" pitchFamily="4" charset="-122"/>
                    <a:ea typeface="方正楷体_GBK" panose="03000509000000000000" pitchFamily="4" charset="-122"/>
                  </a:rPr>
                  <a:t>km</a:t>
                </a:r>
                <a:r>
                  <a:rPr lang="en-US" altLang="zh-CN" baseline="30000">
                    <a:solidFill>
                      <a:sysClr val="windowText" lastClr="000000"/>
                    </a:solidFill>
                    <a:latin typeface="方正楷体_GBK" panose="03000509000000000000" pitchFamily="4" charset="-122"/>
                    <a:ea typeface="方正楷体_GBK" panose="03000509000000000000" pitchFamily="4" charset="-122"/>
                  </a:rPr>
                  <a:t>2</a:t>
                </a:r>
                <a:r>
                  <a:rPr lang="zh-CN" altLang="en-US">
                    <a:solidFill>
                      <a:sysClr val="windowText" lastClr="000000"/>
                    </a:solidFill>
                    <a:latin typeface="方正楷体_GBK" panose="03000509000000000000" pitchFamily="4" charset="-122"/>
                    <a:ea typeface="方正楷体_GBK" panose="03000509000000000000" pitchFamily="4" charset="-122"/>
                  </a:rPr>
                  <a:t>）</a:t>
                </a:r>
                <a:endParaRPr lang="zh-CN" altLang="en-US">
                  <a:solidFill>
                    <a:sysClr val="windowText" lastClr="000000"/>
                  </a:solidFill>
                  <a:latin typeface="方正楷体_GBK" panose="03000509000000000000" pitchFamily="4" charset="-122"/>
                  <a:ea typeface="方正楷体_GBK" panose="03000509000000000000" pitchFamily="4" charset="-122"/>
                </a:endParaRPr>
              </a:p>
            </c:rich>
          </c:tx>
          <c:layout/>
          <c:overlay val="0"/>
          <c:spPr>
            <a:no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820290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区域畜禽粪污土地承载力/猪当量/万头（按氮计）</c:f>
              <c:strCache>
                <c:ptCount val="1"/>
                <c:pt idx="0">
                  <c:v>区域畜禽粪污土地承载力/猪当量/万头（按氮计）</c:v>
                </c:pt>
              </c:strCache>
            </c:strRef>
          </c:tx>
          <c:spPr>
            <a:solidFill>
              <a:srgbClr val="00B050"/>
            </a:solidFill>
            <a:ln w="25400">
              <a:noFill/>
            </a:ln>
          </c:spPr>
          <c:invertIfNegative val="0"/>
          <c:dLbls>
            <c:delete val="1"/>
          </c:dLbls>
          <c:cat>
            <c:strRef>
              <c:f>土地承载力!$U$59:$U$88</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土地承载力!$W$59:$W$88</c:f>
              <c:numCache>
                <c:formatCode>0.00_);[Red]\(0.00\)</c:formatCode>
                <c:ptCount val="30"/>
                <c:pt idx="0">
                  <c:v>21.3926914285714</c:v>
                </c:pt>
                <c:pt idx="1">
                  <c:v>7.28601428571429</c:v>
                </c:pt>
                <c:pt idx="2">
                  <c:v>8.73861428571429</c:v>
                </c:pt>
                <c:pt idx="3">
                  <c:v>3.35838857142857</c:v>
                </c:pt>
                <c:pt idx="4">
                  <c:v>1.47579428571429</c:v>
                </c:pt>
                <c:pt idx="5">
                  <c:v>0.792642857142857</c:v>
                </c:pt>
                <c:pt idx="6">
                  <c:v>7.11681428571429</c:v>
                </c:pt>
                <c:pt idx="7">
                  <c:v>2.74412571428571</c:v>
                </c:pt>
                <c:pt idx="8">
                  <c:v>0.371185714285714</c:v>
                </c:pt>
                <c:pt idx="9">
                  <c:v>6.03696857142857</c:v>
                </c:pt>
                <c:pt idx="10">
                  <c:v>8.14615714285714</c:v>
                </c:pt>
                <c:pt idx="11">
                  <c:v>12.8324314285714</c:v>
                </c:pt>
                <c:pt idx="12">
                  <c:v>7.56609428571429</c:v>
                </c:pt>
                <c:pt idx="13">
                  <c:v>7.15384285714286</c:v>
                </c:pt>
                <c:pt idx="14">
                  <c:v>1.78624285714286</c:v>
                </c:pt>
                <c:pt idx="15">
                  <c:v>19.5945428571429</c:v>
                </c:pt>
                <c:pt idx="16">
                  <c:v>8.28573428571429</c:v>
                </c:pt>
                <c:pt idx="17">
                  <c:v>0.605648571428571</c:v>
                </c:pt>
                <c:pt idx="18">
                  <c:v>1.46178</c:v>
                </c:pt>
                <c:pt idx="19">
                  <c:v>1.12482</c:v>
                </c:pt>
                <c:pt idx="20">
                  <c:v>3.59385428571429</c:v>
                </c:pt>
                <c:pt idx="21">
                  <c:v>7.66375714285714</c:v>
                </c:pt>
                <c:pt idx="22">
                  <c:v>10.76958</c:v>
                </c:pt>
                <c:pt idx="23">
                  <c:v>2.38700571428571</c:v>
                </c:pt>
                <c:pt idx="24">
                  <c:v>10.2788742857143</c:v>
                </c:pt>
                <c:pt idx="25">
                  <c:v>11.3423142857143</c:v>
                </c:pt>
                <c:pt idx="26">
                  <c:v>11.6786057142857</c:v>
                </c:pt>
                <c:pt idx="27">
                  <c:v>5.31365142857143</c:v>
                </c:pt>
                <c:pt idx="28">
                  <c:v>5.08903714285714</c:v>
                </c:pt>
                <c:pt idx="29">
                  <c:v>6.40589142857143</c:v>
                </c:pt>
              </c:numCache>
            </c:numRef>
          </c:val>
        </c:ser>
        <c:ser>
          <c:idx val="2"/>
          <c:order val="2"/>
          <c:tx>
            <c:strRef>
              <c:f>区域畜禽粪污土地承载力/猪当量/万头（按磷计）</c:f>
              <c:strCache>
                <c:ptCount val="1"/>
                <c:pt idx="0">
                  <c:v>区域畜禽粪污土地承载力/猪当量/万头（按磷计）</c:v>
                </c:pt>
              </c:strCache>
            </c:strRef>
          </c:tx>
          <c:spPr>
            <a:solidFill>
              <a:schemeClr val="tx1">
                <a:lumMod val="50000"/>
                <a:lumOff val="50000"/>
              </a:schemeClr>
            </a:solidFill>
            <a:ln>
              <a:noFill/>
            </a:ln>
            <a:effectLst/>
          </c:spPr>
          <c:invertIfNegative val="0"/>
          <c:dLbls>
            <c:delete val="1"/>
          </c:dLbls>
          <c:cat>
            <c:strRef>
              <c:f>土地承载力!$U$59:$U$88</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土地承载力!$X$59:$X$88</c:f>
              <c:numCache>
                <c:formatCode>0.00_);[Red]\(0.00\)</c:formatCode>
                <c:ptCount val="30"/>
                <c:pt idx="0">
                  <c:v>27.609625</c:v>
                </c:pt>
                <c:pt idx="1">
                  <c:v>9.2234375</c:v>
                </c:pt>
                <c:pt idx="2">
                  <c:v>9.9290625</c:v>
                </c:pt>
                <c:pt idx="3">
                  <c:v>4.5623125</c:v>
                </c:pt>
                <c:pt idx="4">
                  <c:v>1.551</c:v>
                </c:pt>
                <c:pt idx="5">
                  <c:v>0.9875</c:v>
                </c:pt>
                <c:pt idx="6">
                  <c:v>8.58125</c:v>
                </c:pt>
                <c:pt idx="7">
                  <c:v>3.143</c:v>
                </c:pt>
                <c:pt idx="8">
                  <c:v>0.4415625</c:v>
                </c:pt>
                <c:pt idx="9">
                  <c:v>6.8183125</c:v>
                </c:pt>
                <c:pt idx="10">
                  <c:v>9.94875</c:v>
                </c:pt>
                <c:pt idx="11">
                  <c:v>16.0798125</c:v>
                </c:pt>
                <c:pt idx="12">
                  <c:v>8.664125</c:v>
                </c:pt>
                <c:pt idx="13">
                  <c:v>8.18875</c:v>
                </c:pt>
                <c:pt idx="14">
                  <c:v>2.0890625</c:v>
                </c:pt>
                <c:pt idx="15">
                  <c:v>27.1175</c:v>
                </c:pt>
                <c:pt idx="16">
                  <c:v>10.429625</c:v>
                </c:pt>
                <c:pt idx="17">
                  <c:v>0.9018125</c:v>
                </c:pt>
                <c:pt idx="18">
                  <c:v>1.4638125</c:v>
                </c:pt>
                <c:pt idx="19">
                  <c:v>1.4036875</c:v>
                </c:pt>
                <c:pt idx="20">
                  <c:v>4.8308125</c:v>
                </c:pt>
                <c:pt idx="21">
                  <c:v>9.9059375</c:v>
                </c:pt>
                <c:pt idx="22">
                  <c:v>14.292875</c:v>
                </c:pt>
                <c:pt idx="23">
                  <c:v>3.12775</c:v>
                </c:pt>
                <c:pt idx="24">
                  <c:v>12.8098125</c:v>
                </c:pt>
                <c:pt idx="25">
                  <c:v>13.4834375</c:v>
                </c:pt>
                <c:pt idx="26">
                  <c:v>15.890875</c:v>
                </c:pt>
                <c:pt idx="27">
                  <c:v>6.675375</c:v>
                </c:pt>
                <c:pt idx="28">
                  <c:v>5.950375</c:v>
                </c:pt>
                <c:pt idx="29">
                  <c:v>8.360875</c:v>
                </c:pt>
              </c:numCache>
            </c:numRef>
          </c:val>
        </c:ser>
        <c:dLbls>
          <c:showLegendKey val="0"/>
          <c:showVal val="0"/>
          <c:showCatName val="0"/>
          <c:showSerName val="0"/>
          <c:showPercent val="0"/>
          <c:showBubbleSize val="0"/>
        </c:dLbls>
        <c:gapWidth val="219"/>
        <c:axId val="979351824"/>
        <c:axId val="1"/>
      </c:barChart>
      <c:lineChart>
        <c:grouping val="standard"/>
        <c:varyColors val="0"/>
        <c:ser>
          <c:idx val="0"/>
          <c:order val="0"/>
          <c:tx>
            <c:strRef>
              <c:f>常年存栏猪当量</c:f>
              <c:strCache>
                <c:ptCount val="1"/>
                <c:pt idx="0">
                  <c:v>常年存栏猪当量</c:v>
                </c:pt>
              </c:strCache>
            </c:strRef>
          </c:tx>
          <c:spPr>
            <a:ln w="19050" cap="rnd" cmpd="sng" algn="ctr">
              <a:solidFill>
                <a:srgbClr val="FF0000">
                  <a:alpha val="60000"/>
                </a:srgbClr>
              </a:solidFill>
              <a:prstDash val="solid"/>
              <a:round/>
            </a:ln>
            <a:effectLst/>
          </c:spPr>
          <c:marker>
            <c:symbol val="none"/>
          </c:marker>
          <c:dLbls>
            <c:delete val="1"/>
          </c:dLbls>
          <c:cat>
            <c:strRef>
              <c:f>土地承载力!$U$59:$U$88</c:f>
              <c:strCache>
                <c:ptCount val="30"/>
                <c:pt idx="0">
                  <c:v>白沙镇</c:v>
                </c:pt>
                <c:pt idx="1">
                  <c:v>柏林镇</c:v>
                </c:pt>
                <c:pt idx="2">
                  <c:v>蔡家镇</c:v>
                </c:pt>
                <c:pt idx="3">
                  <c:v>慈云镇</c:v>
                </c:pt>
                <c:pt idx="4">
                  <c:v>德感街道</c:v>
                </c:pt>
                <c:pt idx="5">
                  <c:v>鼎山街道</c:v>
                </c:pt>
                <c:pt idx="6">
                  <c:v>杜市镇</c:v>
                </c:pt>
                <c:pt idx="7">
                  <c:v>广兴镇</c:v>
                </c:pt>
                <c:pt idx="8">
                  <c:v>几江街道</c:v>
                </c:pt>
                <c:pt idx="9">
                  <c:v>嘉平镇</c:v>
                </c:pt>
                <c:pt idx="10">
                  <c:v>贾嗣镇</c:v>
                </c:pt>
                <c:pt idx="11">
                  <c:v>李市镇</c:v>
                </c:pt>
                <c:pt idx="12">
                  <c:v>龙华镇</c:v>
                </c:pt>
                <c:pt idx="13">
                  <c:v>珞璜镇</c:v>
                </c:pt>
                <c:pt idx="14">
                  <c:v>圣泉街道</c:v>
                </c:pt>
                <c:pt idx="15">
                  <c:v>石蟆镇</c:v>
                </c:pt>
                <c:pt idx="16">
                  <c:v>石门镇</c:v>
                </c:pt>
                <c:pt idx="17">
                  <c:v>双福街道</c:v>
                </c:pt>
                <c:pt idx="18">
                  <c:v>四面山镇</c:v>
                </c:pt>
                <c:pt idx="19">
                  <c:v>四屏镇</c:v>
                </c:pt>
                <c:pt idx="20">
                  <c:v>塘河镇</c:v>
                </c:pt>
                <c:pt idx="21">
                  <c:v>吴滩镇</c:v>
                </c:pt>
                <c:pt idx="22">
                  <c:v>西湖镇</c:v>
                </c:pt>
                <c:pt idx="23">
                  <c:v>夏坝镇</c:v>
                </c:pt>
                <c:pt idx="24">
                  <c:v>先锋镇</c:v>
                </c:pt>
                <c:pt idx="25">
                  <c:v>永兴镇</c:v>
                </c:pt>
                <c:pt idx="26">
                  <c:v>油溪镇</c:v>
                </c:pt>
                <c:pt idx="27">
                  <c:v>支坪镇</c:v>
                </c:pt>
                <c:pt idx="28">
                  <c:v>中山镇</c:v>
                </c:pt>
                <c:pt idx="29">
                  <c:v>朱杨镇</c:v>
                </c:pt>
              </c:strCache>
            </c:strRef>
          </c:cat>
          <c:val>
            <c:numRef>
              <c:f>土地承载力!$V$59:$V$88</c:f>
              <c:numCache>
                <c:formatCode>0.00_);[Red]\(0.00\)</c:formatCode>
                <c:ptCount val="30"/>
                <c:pt idx="0">
                  <c:v>2.6568</c:v>
                </c:pt>
                <c:pt idx="1">
                  <c:v>0.7135</c:v>
                </c:pt>
                <c:pt idx="2">
                  <c:v>0.439066666666667</c:v>
                </c:pt>
                <c:pt idx="3">
                  <c:v>0.697622222222222</c:v>
                </c:pt>
                <c:pt idx="4">
                  <c:v>1.74033333333333</c:v>
                </c:pt>
                <c:pt idx="5">
                  <c:v>0</c:v>
                </c:pt>
                <c:pt idx="6">
                  <c:v>0.347166666666667</c:v>
                </c:pt>
                <c:pt idx="7">
                  <c:v>0.113333333333333</c:v>
                </c:pt>
                <c:pt idx="8">
                  <c:v>0.3</c:v>
                </c:pt>
                <c:pt idx="9">
                  <c:v>0.288</c:v>
                </c:pt>
                <c:pt idx="10">
                  <c:v>0.6748</c:v>
                </c:pt>
                <c:pt idx="11">
                  <c:v>5.59455</c:v>
                </c:pt>
                <c:pt idx="12">
                  <c:v>0.859933333333333</c:v>
                </c:pt>
                <c:pt idx="13">
                  <c:v>0.213</c:v>
                </c:pt>
                <c:pt idx="14">
                  <c:v>0.4535</c:v>
                </c:pt>
                <c:pt idx="15">
                  <c:v>0.5954</c:v>
                </c:pt>
                <c:pt idx="16">
                  <c:v>0.1399</c:v>
                </c:pt>
                <c:pt idx="17">
                  <c:v>0.103633333333333</c:v>
                </c:pt>
                <c:pt idx="18">
                  <c:v>0.0346</c:v>
                </c:pt>
                <c:pt idx="19">
                  <c:v>0.00666666666666667</c:v>
                </c:pt>
                <c:pt idx="20">
                  <c:v>0.751333333333333</c:v>
                </c:pt>
                <c:pt idx="21">
                  <c:v>2.63066666666667</c:v>
                </c:pt>
                <c:pt idx="22">
                  <c:v>0.796833333333333</c:v>
                </c:pt>
                <c:pt idx="23">
                  <c:v>0.45</c:v>
                </c:pt>
                <c:pt idx="24">
                  <c:v>2.043</c:v>
                </c:pt>
                <c:pt idx="25">
                  <c:v>0.321166666666667</c:v>
                </c:pt>
                <c:pt idx="26">
                  <c:v>1.47033333333333</c:v>
                </c:pt>
                <c:pt idx="27">
                  <c:v>0.496823333333333</c:v>
                </c:pt>
                <c:pt idx="28">
                  <c:v>0.024</c:v>
                </c:pt>
                <c:pt idx="29">
                  <c:v>0.206</c:v>
                </c:pt>
              </c:numCache>
            </c:numRef>
          </c:val>
          <c:smooth val="0"/>
        </c:ser>
        <c:dLbls>
          <c:showLegendKey val="0"/>
          <c:showVal val="0"/>
          <c:showCatName val="0"/>
          <c:showSerName val="0"/>
          <c:showPercent val="0"/>
          <c:showBubbleSize val="0"/>
        </c:dLbls>
        <c:marker val="0"/>
        <c:smooth val="0"/>
        <c:axId val="979351824"/>
        <c:axId val="1"/>
      </c:lineChart>
      <c:catAx>
        <c:axId val="97935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wordArtVertRtl" wrap="square" anchor="ctr" anchorCtr="1"/>
          <a:lstStyle/>
          <a:p>
            <a:pPr>
              <a:defRPr lang="zh-CN" sz="900" b="0" i="0" u="none" strike="noStrike" kern="1200" baseline="0">
                <a:solidFill>
                  <a:srgbClr val="000000"/>
                </a:solidFill>
                <a:latin typeface="方正楷体_GBK" panose="03000509000000000000" pitchFamily="4" charset="-122"/>
                <a:ea typeface="方正楷体_GBK" panose="03000509000000000000" pitchFamily="4" charset="-122"/>
                <a:cs typeface="方正楷体_GBK" panose="03000509000000000000" pitchFamily="4" charset="-122"/>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100" b="0" i="0" u="none" strike="noStrike" kern="1200" baseline="0">
                    <a:solidFill>
                      <a:srgbClr val="000000"/>
                    </a:solidFill>
                    <a:latin typeface="Calibri" panose="020F0502020204030204"/>
                    <a:ea typeface="Calibri" panose="020F0502020204030204"/>
                    <a:cs typeface="Calibri" panose="020F0502020204030204"/>
                  </a:defRPr>
                </a:pPr>
                <a:r>
                  <a:rPr lang="zh-CN" altLang="en-US" sz="900" b="0" i="0" u="none" strike="noStrike" baseline="0">
                    <a:solidFill>
                      <a:srgbClr val="000000"/>
                    </a:solidFill>
                    <a:latin typeface="方正楷体_GBK" panose="03000509000000000000" pitchFamily="4" charset="-122"/>
                    <a:ea typeface="方正楷体_GBK" panose="03000509000000000000" pitchFamily="4" charset="-122"/>
                  </a:rPr>
                  <a:t>猪当量/万头</a:t>
                </a:r>
                <a:endParaRPr lang="zh-CN" altLang="en-US" sz="900" b="0" i="0" u="none" strike="noStrike" baseline="0">
                  <a:solidFill>
                    <a:srgbClr val="000000"/>
                  </a:solidFill>
                  <a:latin typeface="方正楷体_GBK" panose="03000509000000000000" pitchFamily="4" charset="-122"/>
                  <a:ea typeface="方正楷体_GBK" panose="03000509000000000000" pitchFamily="4" charset="-122"/>
                </a:endParaRPr>
              </a:p>
            </c:rich>
          </c:tx>
          <c:layout/>
          <c:overlay val="0"/>
        </c:title>
        <c:numFmt formatCode="0.00_);[Red]\(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方正楷体_GBK" panose="03000509000000000000" pitchFamily="4" charset="-122"/>
                <a:cs typeface="Times New Roman" panose="02020603050405020304" charset="0"/>
              </a:defRPr>
            </a:pPr>
          </a:p>
        </c:txPr>
        <c:crossAx val="979351824"/>
        <c:crosses val="autoZero"/>
        <c:crossBetween val="between"/>
      </c:valAx>
      <c:spPr>
        <a:noFill/>
        <a:ln w="25400">
          <a:noFill/>
        </a:ln>
      </c:spPr>
    </c:plotArea>
    <c:legend>
      <c:legendPos val="b"/>
      <c:layout/>
      <c:overlay val="0"/>
      <c:spPr>
        <a:noFill/>
        <a:ln w="3175">
          <a:noFill/>
        </a:ln>
      </c:spPr>
      <c:txPr>
        <a:bodyPr rot="0" spcFirstLastPara="0" vertOverflow="ellipsis" vert="horz" wrap="square" anchor="ctr" anchorCtr="1"/>
        <a:lstStyle/>
        <a:p>
          <a:pPr>
            <a:defRPr lang="zh-CN" sz="825" b="0" i="0" u="none" strike="noStrike" kern="1200" baseline="0">
              <a:solidFill>
                <a:srgbClr val="000000"/>
              </a:solidFill>
              <a:latin typeface="方正楷体_GBK" panose="03000509000000000000" pitchFamily="4" charset="-122"/>
              <a:ea typeface="方正楷体_GBK" panose="03000509000000000000" pitchFamily="4" charset="-122"/>
              <a:cs typeface="方正楷体_GBK" panose="03000509000000000000" pitchFamily="4"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900" b="0" i="0" u="none" strike="noStrike" baseline="0">
          <a:solidFill>
            <a:srgbClr val="000000"/>
          </a:solidFill>
          <a:latin typeface="方正楷体_GBK" panose="03000509000000000000" pitchFamily="4" charset="-122"/>
          <a:ea typeface="方正楷体_GBK" panose="03000509000000000000" pitchFamily="4" charset="-122"/>
          <a:cs typeface="方正楷体_GBK" panose="03000509000000000000" pitchFamily="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三区养殖量!$J$33</c:f>
              <c:strCache>
                <c:ptCount val="1"/>
                <c:pt idx="0">
                  <c:v>区域平均养殖量（猪当量/头/平方千米）</c:v>
                </c:pt>
              </c:strCache>
            </c:strRef>
          </c:tx>
          <c:spPr>
            <a:solidFill>
              <a:schemeClr val="accent2"/>
            </a:solidFill>
            <a:ln>
              <a:noFill/>
            </a:ln>
            <a:effectLst/>
          </c:spPr>
          <c:invertIfNegative val="0"/>
          <c:dLbls>
            <c:delete val="1"/>
          </c:dLbls>
          <c:cat>
            <c:strRef>
              <c:f>三区养殖量!$G$34:$G$63</c:f>
              <c:strCache>
                <c:ptCount val="30"/>
                <c:pt idx="0">
                  <c:v>德感街道</c:v>
                </c:pt>
                <c:pt idx="1">
                  <c:v>先锋镇</c:v>
                </c:pt>
                <c:pt idx="2">
                  <c:v>李市镇</c:v>
                </c:pt>
                <c:pt idx="3">
                  <c:v>蔡家镇</c:v>
                </c:pt>
                <c:pt idx="4">
                  <c:v>几江街道</c:v>
                </c:pt>
                <c:pt idx="5">
                  <c:v>圣泉街道</c:v>
                </c:pt>
                <c:pt idx="6">
                  <c:v>支坪镇</c:v>
                </c:pt>
                <c:pt idx="7">
                  <c:v>珞璜镇</c:v>
                </c:pt>
                <c:pt idx="8">
                  <c:v>双福街道</c:v>
                </c:pt>
                <c:pt idx="9">
                  <c:v>中山镇</c:v>
                </c:pt>
                <c:pt idx="10">
                  <c:v>永兴镇</c:v>
                </c:pt>
                <c:pt idx="11">
                  <c:v>油溪镇</c:v>
                </c:pt>
                <c:pt idx="12">
                  <c:v>石蟆镇</c:v>
                </c:pt>
                <c:pt idx="13">
                  <c:v>四面山镇</c:v>
                </c:pt>
                <c:pt idx="14">
                  <c:v>塘河镇</c:v>
                </c:pt>
                <c:pt idx="15">
                  <c:v>白沙镇</c:v>
                </c:pt>
                <c:pt idx="16">
                  <c:v>柏林镇</c:v>
                </c:pt>
                <c:pt idx="17">
                  <c:v>慈云镇</c:v>
                </c:pt>
                <c:pt idx="18">
                  <c:v>鼎山街道</c:v>
                </c:pt>
                <c:pt idx="19">
                  <c:v>杜市镇</c:v>
                </c:pt>
                <c:pt idx="20">
                  <c:v>广兴镇</c:v>
                </c:pt>
                <c:pt idx="21">
                  <c:v>嘉平镇</c:v>
                </c:pt>
                <c:pt idx="22">
                  <c:v>贾嗣镇</c:v>
                </c:pt>
                <c:pt idx="23">
                  <c:v>龙华镇</c:v>
                </c:pt>
                <c:pt idx="24">
                  <c:v>石门镇</c:v>
                </c:pt>
                <c:pt idx="25">
                  <c:v>四屏镇</c:v>
                </c:pt>
                <c:pt idx="26">
                  <c:v>吴滩镇</c:v>
                </c:pt>
                <c:pt idx="27">
                  <c:v>西湖镇</c:v>
                </c:pt>
                <c:pt idx="28">
                  <c:v>夏坝镇</c:v>
                </c:pt>
                <c:pt idx="29">
                  <c:v>朱杨镇</c:v>
                </c:pt>
              </c:strCache>
            </c:strRef>
          </c:cat>
          <c:val>
            <c:numRef>
              <c:f>三区养殖量!$J$34:$J$63</c:f>
              <c:numCache>
                <c:formatCode>0_);[Red]\(0\)</c:formatCode>
                <c:ptCount val="30"/>
                <c:pt idx="0">
                  <c:v>378.909935408956</c:v>
                </c:pt>
                <c:pt idx="1">
                  <c:v>327.600327600328</c:v>
                </c:pt>
                <c:pt idx="2">
                  <c:v>223.625730994152</c:v>
                </c:pt>
                <c:pt idx="3">
                  <c:v>214.381863266029</c:v>
                </c:pt>
                <c:pt idx="4">
                  <c:v>188.679245283019</c:v>
                </c:pt>
                <c:pt idx="5">
                  <c:v>161.547433903577</c:v>
                </c:pt>
                <c:pt idx="6">
                  <c:v>151.455789863115</c:v>
                </c:pt>
                <c:pt idx="7">
                  <c:v>102.620087336245</c:v>
                </c:pt>
                <c:pt idx="8">
                  <c:v>37.9282218597064</c:v>
                </c:pt>
                <c:pt idx="9">
                  <c:v>22.2016651248844</c:v>
                </c:pt>
                <c:pt idx="10">
                  <c:v>16.6270783847981</c:v>
                </c:pt>
                <c:pt idx="11">
                  <c:v>11.2262521588946</c:v>
                </c:pt>
                <c:pt idx="12">
                  <c:v>7.56501182033097</c:v>
                </c:pt>
                <c:pt idx="13">
                  <c:v>5.86459680896938</c:v>
                </c:pt>
                <c:pt idx="14">
                  <c:v>3.36787564766839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ser>
        <c:dLbls>
          <c:showLegendKey val="0"/>
          <c:showVal val="0"/>
          <c:showCatName val="0"/>
          <c:showSerName val="0"/>
          <c:showPercent val="0"/>
          <c:showBubbleSize val="0"/>
        </c:dLbls>
        <c:gapWidth val="219"/>
        <c:axId val="1826599535"/>
        <c:axId val="1826601615"/>
      </c:barChart>
      <c:lineChart>
        <c:grouping val="standard"/>
        <c:varyColors val="0"/>
        <c:ser>
          <c:idx val="0"/>
          <c:order val="0"/>
          <c:tx>
            <c:strRef>
              <c:f>三区养殖量!$H$33</c:f>
              <c:strCache>
                <c:ptCount val="1"/>
                <c:pt idx="0">
                  <c:v>限养区面积（平方千米）</c:v>
                </c:pt>
              </c:strCache>
            </c:strRef>
          </c:tx>
          <c:spPr>
            <a:ln w="28575" cap="rnd">
              <a:solidFill>
                <a:schemeClr val="accent1"/>
              </a:solidFill>
              <a:round/>
            </a:ln>
            <a:effectLst/>
          </c:spPr>
          <c:marker>
            <c:symbol val="none"/>
          </c:marker>
          <c:dLbls>
            <c:delete val="1"/>
          </c:dLbls>
          <c:cat>
            <c:strRef>
              <c:f>三区养殖量!$G$34:$G$63</c:f>
              <c:strCache>
                <c:ptCount val="30"/>
                <c:pt idx="0">
                  <c:v>德感街道</c:v>
                </c:pt>
                <c:pt idx="1">
                  <c:v>先锋镇</c:v>
                </c:pt>
                <c:pt idx="2">
                  <c:v>李市镇</c:v>
                </c:pt>
                <c:pt idx="3">
                  <c:v>蔡家镇</c:v>
                </c:pt>
                <c:pt idx="4">
                  <c:v>几江街道</c:v>
                </c:pt>
                <c:pt idx="5">
                  <c:v>圣泉街道</c:v>
                </c:pt>
                <c:pt idx="6">
                  <c:v>支坪镇</c:v>
                </c:pt>
                <c:pt idx="7">
                  <c:v>珞璜镇</c:v>
                </c:pt>
                <c:pt idx="8">
                  <c:v>双福街道</c:v>
                </c:pt>
                <c:pt idx="9">
                  <c:v>中山镇</c:v>
                </c:pt>
                <c:pt idx="10">
                  <c:v>永兴镇</c:v>
                </c:pt>
                <c:pt idx="11">
                  <c:v>油溪镇</c:v>
                </c:pt>
                <c:pt idx="12">
                  <c:v>石蟆镇</c:v>
                </c:pt>
                <c:pt idx="13">
                  <c:v>四面山镇</c:v>
                </c:pt>
                <c:pt idx="14">
                  <c:v>塘河镇</c:v>
                </c:pt>
                <c:pt idx="15">
                  <c:v>白沙镇</c:v>
                </c:pt>
                <c:pt idx="16">
                  <c:v>柏林镇</c:v>
                </c:pt>
                <c:pt idx="17">
                  <c:v>慈云镇</c:v>
                </c:pt>
                <c:pt idx="18">
                  <c:v>鼎山街道</c:v>
                </c:pt>
                <c:pt idx="19">
                  <c:v>杜市镇</c:v>
                </c:pt>
                <c:pt idx="20">
                  <c:v>广兴镇</c:v>
                </c:pt>
                <c:pt idx="21">
                  <c:v>嘉平镇</c:v>
                </c:pt>
                <c:pt idx="22">
                  <c:v>贾嗣镇</c:v>
                </c:pt>
                <c:pt idx="23">
                  <c:v>龙华镇</c:v>
                </c:pt>
                <c:pt idx="24">
                  <c:v>石门镇</c:v>
                </c:pt>
                <c:pt idx="25">
                  <c:v>四屏镇</c:v>
                </c:pt>
                <c:pt idx="26">
                  <c:v>吴滩镇</c:v>
                </c:pt>
                <c:pt idx="27">
                  <c:v>西湖镇</c:v>
                </c:pt>
                <c:pt idx="28">
                  <c:v>夏坝镇</c:v>
                </c:pt>
                <c:pt idx="29">
                  <c:v>朱杨镇</c:v>
                </c:pt>
              </c:strCache>
            </c:strRef>
          </c:cat>
          <c:val>
            <c:numRef>
              <c:f>三区养殖量!$H$34:$H$63</c:f>
              <c:numCache>
                <c:formatCode>0.00_);[Red]\(0.00\)</c:formatCode>
                <c:ptCount val="30"/>
                <c:pt idx="0">
                  <c:v>45.93</c:v>
                </c:pt>
                <c:pt idx="1">
                  <c:v>4.07</c:v>
                </c:pt>
                <c:pt idx="2">
                  <c:v>14.25</c:v>
                </c:pt>
                <c:pt idx="3">
                  <c:v>18.82</c:v>
                </c:pt>
                <c:pt idx="4">
                  <c:v>15.9</c:v>
                </c:pt>
                <c:pt idx="5">
                  <c:v>25.72</c:v>
                </c:pt>
                <c:pt idx="6">
                  <c:v>18.02</c:v>
                </c:pt>
                <c:pt idx="7">
                  <c:v>18.32</c:v>
                </c:pt>
                <c:pt idx="8">
                  <c:v>12.26</c:v>
                </c:pt>
                <c:pt idx="9">
                  <c:v>10.81</c:v>
                </c:pt>
                <c:pt idx="10">
                  <c:v>16.84</c:v>
                </c:pt>
                <c:pt idx="11">
                  <c:v>11.58</c:v>
                </c:pt>
                <c:pt idx="12">
                  <c:v>8.46</c:v>
                </c:pt>
                <c:pt idx="13">
                  <c:v>23.19</c:v>
                </c:pt>
                <c:pt idx="14">
                  <c:v>3.86</c:v>
                </c:pt>
                <c:pt idx="15">
                  <c:v>19.67</c:v>
                </c:pt>
                <c:pt idx="16">
                  <c:v>12.52</c:v>
                </c:pt>
                <c:pt idx="17">
                  <c:v>6.24</c:v>
                </c:pt>
                <c:pt idx="18">
                  <c:v>23.57</c:v>
                </c:pt>
                <c:pt idx="19">
                  <c:v>9.98</c:v>
                </c:pt>
                <c:pt idx="20">
                  <c:v>1.38</c:v>
                </c:pt>
                <c:pt idx="21">
                  <c:v>0.08</c:v>
                </c:pt>
                <c:pt idx="22">
                  <c:v>4.87</c:v>
                </c:pt>
                <c:pt idx="23">
                  <c:v>3.92</c:v>
                </c:pt>
                <c:pt idx="24">
                  <c:v>3.04</c:v>
                </c:pt>
                <c:pt idx="25">
                  <c:v>17.93</c:v>
                </c:pt>
                <c:pt idx="26">
                  <c:v>11.9</c:v>
                </c:pt>
                <c:pt idx="27">
                  <c:v>2.08</c:v>
                </c:pt>
                <c:pt idx="28">
                  <c:v>4.85</c:v>
                </c:pt>
                <c:pt idx="29">
                  <c:v>10.86</c:v>
                </c:pt>
              </c:numCache>
            </c:numRef>
          </c:val>
          <c:smooth val="0"/>
        </c:ser>
        <c:dLbls>
          <c:showLegendKey val="0"/>
          <c:showVal val="0"/>
          <c:showCatName val="0"/>
          <c:showSerName val="0"/>
          <c:showPercent val="0"/>
          <c:showBubbleSize val="0"/>
        </c:dLbls>
        <c:marker val="0"/>
        <c:smooth val="0"/>
        <c:axId val="1826599535"/>
        <c:axId val="1826601615"/>
      </c:lineChart>
      <c:catAx>
        <c:axId val="1826599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1826601615"/>
        <c:crosses val="autoZero"/>
        <c:auto val="1"/>
        <c:lblAlgn val="ctr"/>
        <c:lblOffset val="100"/>
        <c:noMultiLvlLbl val="0"/>
      </c:catAx>
      <c:valAx>
        <c:axId val="1826601615"/>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82659953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三区养殖量!$N$67</c:f>
              <c:strCache>
                <c:ptCount val="1"/>
                <c:pt idx="0">
                  <c:v>区域平均养殖量（猪当量/头/平方千米）</c:v>
                </c:pt>
              </c:strCache>
            </c:strRef>
          </c:tx>
          <c:spPr>
            <a:solidFill>
              <a:schemeClr val="accent2"/>
            </a:solidFill>
            <a:ln>
              <a:noFill/>
            </a:ln>
            <a:effectLst/>
          </c:spPr>
          <c:invertIfNegative val="0"/>
          <c:dLbls>
            <c:delete val="1"/>
          </c:dLbls>
          <c:cat>
            <c:strRef>
              <c:f>三区养殖量!$K$68:$K$97</c:f>
              <c:strCache>
                <c:ptCount val="30"/>
                <c:pt idx="0">
                  <c:v>塘河镇</c:v>
                </c:pt>
                <c:pt idx="1">
                  <c:v>吴滩镇</c:v>
                </c:pt>
                <c:pt idx="2">
                  <c:v>李市镇</c:v>
                </c:pt>
                <c:pt idx="3">
                  <c:v>白沙镇</c:v>
                </c:pt>
                <c:pt idx="4">
                  <c:v>先锋镇</c:v>
                </c:pt>
                <c:pt idx="5">
                  <c:v>慈云镇</c:v>
                </c:pt>
                <c:pt idx="6">
                  <c:v>夏坝镇</c:v>
                </c:pt>
                <c:pt idx="7">
                  <c:v>龙华镇</c:v>
                </c:pt>
                <c:pt idx="8">
                  <c:v>油溪镇</c:v>
                </c:pt>
                <c:pt idx="9">
                  <c:v>贾嗣镇</c:v>
                </c:pt>
                <c:pt idx="10">
                  <c:v>双福街道</c:v>
                </c:pt>
                <c:pt idx="11">
                  <c:v>柏林镇</c:v>
                </c:pt>
                <c:pt idx="12">
                  <c:v>支坪镇</c:v>
                </c:pt>
                <c:pt idx="13">
                  <c:v>西湖镇</c:v>
                </c:pt>
                <c:pt idx="14">
                  <c:v>圣泉街道</c:v>
                </c:pt>
                <c:pt idx="15">
                  <c:v>朱杨镇</c:v>
                </c:pt>
                <c:pt idx="16">
                  <c:v>杜市镇</c:v>
                </c:pt>
                <c:pt idx="17">
                  <c:v>广兴镇</c:v>
                </c:pt>
                <c:pt idx="18">
                  <c:v>嘉平镇</c:v>
                </c:pt>
                <c:pt idx="19">
                  <c:v>石蟆镇</c:v>
                </c:pt>
                <c:pt idx="20">
                  <c:v>永兴镇</c:v>
                </c:pt>
                <c:pt idx="21">
                  <c:v>石门镇</c:v>
                </c:pt>
                <c:pt idx="22">
                  <c:v>四面山镇</c:v>
                </c:pt>
                <c:pt idx="23">
                  <c:v>珞璜镇</c:v>
                </c:pt>
                <c:pt idx="24">
                  <c:v>蔡家镇</c:v>
                </c:pt>
                <c:pt idx="25">
                  <c:v>四屏镇</c:v>
                </c:pt>
                <c:pt idx="26">
                  <c:v>鼎山街道</c:v>
                </c:pt>
                <c:pt idx="27">
                  <c:v>中山镇</c:v>
                </c:pt>
                <c:pt idx="28">
                  <c:v>德感街道</c:v>
                </c:pt>
                <c:pt idx="29">
                  <c:v>几江街道</c:v>
                </c:pt>
              </c:strCache>
            </c:strRef>
          </c:cat>
          <c:val>
            <c:numRef>
              <c:f>三区养殖量!$N$68:$N$97</c:f>
              <c:numCache>
                <c:formatCode>0_);[Red]\(0\)</c:formatCode>
                <c:ptCount val="30"/>
                <c:pt idx="0">
                  <c:v>1177.39403453689</c:v>
                </c:pt>
                <c:pt idx="1">
                  <c:v>397.081761006289</c:v>
                </c:pt>
                <c:pt idx="2">
                  <c:v>350.626924525376</c:v>
                </c:pt>
                <c:pt idx="3">
                  <c:v>210.189873417722</c:v>
                </c:pt>
                <c:pt idx="4">
                  <c:v>178.157166402339</c:v>
                </c:pt>
                <c:pt idx="5">
                  <c:v>154.8894809552</c:v>
                </c:pt>
                <c:pt idx="6">
                  <c:v>153.374233128834</c:v>
                </c:pt>
                <c:pt idx="7">
                  <c:v>129.879675779087</c:v>
                </c:pt>
                <c:pt idx="8">
                  <c:v>123.179218437438</c:v>
                </c:pt>
                <c:pt idx="9">
                  <c:v>111.666390865464</c:v>
                </c:pt>
                <c:pt idx="10">
                  <c:v>99.1898148148148</c:v>
                </c:pt>
                <c:pt idx="11">
                  <c:v>79.119538700377</c:v>
                </c:pt>
                <c:pt idx="12">
                  <c:v>76.3122017723245</c:v>
                </c:pt>
                <c:pt idx="13">
                  <c:v>62.5949201361613</c:v>
                </c:pt>
                <c:pt idx="14">
                  <c:v>58.8235294117647</c:v>
                </c:pt>
                <c:pt idx="15">
                  <c:v>52.3906408952187</c:v>
                </c:pt>
                <c:pt idx="16">
                  <c:v>44.7610452123087</c:v>
                </c:pt>
                <c:pt idx="17">
                  <c:v>37.2317126587823</c:v>
                </c:pt>
                <c:pt idx="18">
                  <c:v>35.9595455112998</c:v>
                </c:pt>
                <c:pt idx="19">
                  <c:v>34.6511354276974</c:v>
                </c:pt>
                <c:pt idx="20">
                  <c:v>33.0142642642643</c:v>
                </c:pt>
                <c:pt idx="21">
                  <c:v>19.7850374770188</c:v>
                </c:pt>
                <c:pt idx="22">
                  <c:v>8.3899320815022</c:v>
                </c:pt>
                <c:pt idx="23">
                  <c:v>6.25312656328164</c:v>
                </c:pt>
                <c:pt idx="24">
                  <c:v>2.01859832161488</c:v>
                </c:pt>
                <c:pt idx="25">
                  <c:v>1.70415814587594</c:v>
                </c:pt>
                <c:pt idx="26">
                  <c:v>0</c:v>
                </c:pt>
                <c:pt idx="27">
                  <c:v>0</c:v>
                </c:pt>
                <c:pt idx="28">
                  <c:v>0</c:v>
                </c:pt>
                <c:pt idx="29">
                  <c:v>0</c:v>
                </c:pt>
              </c:numCache>
            </c:numRef>
          </c:val>
        </c:ser>
        <c:dLbls>
          <c:showLegendKey val="0"/>
          <c:showVal val="0"/>
          <c:showCatName val="0"/>
          <c:showSerName val="0"/>
          <c:showPercent val="0"/>
          <c:showBubbleSize val="0"/>
        </c:dLbls>
        <c:gapWidth val="219"/>
        <c:axId val="1864652031"/>
        <c:axId val="1864653279"/>
      </c:barChart>
      <c:lineChart>
        <c:grouping val="standard"/>
        <c:varyColors val="0"/>
        <c:ser>
          <c:idx val="0"/>
          <c:order val="0"/>
          <c:tx>
            <c:strRef>
              <c:f>三区养殖量!$L$67</c:f>
              <c:strCache>
                <c:ptCount val="1"/>
                <c:pt idx="0">
                  <c:v>适养区面积（平方千米）</c:v>
                </c:pt>
              </c:strCache>
            </c:strRef>
          </c:tx>
          <c:spPr>
            <a:ln w="28575" cap="rnd">
              <a:solidFill>
                <a:schemeClr val="accent1"/>
              </a:solidFill>
              <a:round/>
            </a:ln>
            <a:effectLst/>
          </c:spPr>
          <c:marker>
            <c:symbol val="none"/>
          </c:marker>
          <c:dLbls>
            <c:delete val="1"/>
          </c:dLbls>
          <c:cat>
            <c:strRef>
              <c:f>三区养殖量!$K$68:$K$97</c:f>
              <c:strCache>
                <c:ptCount val="30"/>
                <c:pt idx="0">
                  <c:v>塘河镇</c:v>
                </c:pt>
                <c:pt idx="1">
                  <c:v>吴滩镇</c:v>
                </c:pt>
                <c:pt idx="2">
                  <c:v>李市镇</c:v>
                </c:pt>
                <c:pt idx="3">
                  <c:v>白沙镇</c:v>
                </c:pt>
                <c:pt idx="4">
                  <c:v>先锋镇</c:v>
                </c:pt>
                <c:pt idx="5">
                  <c:v>慈云镇</c:v>
                </c:pt>
                <c:pt idx="6">
                  <c:v>夏坝镇</c:v>
                </c:pt>
                <c:pt idx="7">
                  <c:v>龙华镇</c:v>
                </c:pt>
                <c:pt idx="8">
                  <c:v>油溪镇</c:v>
                </c:pt>
                <c:pt idx="9">
                  <c:v>贾嗣镇</c:v>
                </c:pt>
                <c:pt idx="10">
                  <c:v>双福街道</c:v>
                </c:pt>
                <c:pt idx="11">
                  <c:v>柏林镇</c:v>
                </c:pt>
                <c:pt idx="12">
                  <c:v>支坪镇</c:v>
                </c:pt>
                <c:pt idx="13">
                  <c:v>西湖镇</c:v>
                </c:pt>
                <c:pt idx="14">
                  <c:v>圣泉街道</c:v>
                </c:pt>
                <c:pt idx="15">
                  <c:v>朱杨镇</c:v>
                </c:pt>
                <c:pt idx="16">
                  <c:v>杜市镇</c:v>
                </c:pt>
                <c:pt idx="17">
                  <c:v>广兴镇</c:v>
                </c:pt>
                <c:pt idx="18">
                  <c:v>嘉平镇</c:v>
                </c:pt>
                <c:pt idx="19">
                  <c:v>石蟆镇</c:v>
                </c:pt>
                <c:pt idx="20">
                  <c:v>永兴镇</c:v>
                </c:pt>
                <c:pt idx="21">
                  <c:v>石门镇</c:v>
                </c:pt>
                <c:pt idx="22">
                  <c:v>四面山镇</c:v>
                </c:pt>
                <c:pt idx="23">
                  <c:v>珞璜镇</c:v>
                </c:pt>
                <c:pt idx="24">
                  <c:v>蔡家镇</c:v>
                </c:pt>
                <c:pt idx="25">
                  <c:v>四屏镇</c:v>
                </c:pt>
                <c:pt idx="26">
                  <c:v>鼎山街道</c:v>
                </c:pt>
                <c:pt idx="27">
                  <c:v>中山镇</c:v>
                </c:pt>
                <c:pt idx="28">
                  <c:v>德感街道</c:v>
                </c:pt>
                <c:pt idx="29">
                  <c:v>几江街道</c:v>
                </c:pt>
              </c:strCache>
            </c:strRef>
          </c:cat>
          <c:val>
            <c:numRef>
              <c:f>三区养殖量!$L$68:$L$97</c:f>
              <c:numCache>
                <c:formatCode>0.00_);[Red]\(0.00\)</c:formatCode>
                <c:ptCount val="30"/>
                <c:pt idx="0">
                  <c:v>6.37</c:v>
                </c:pt>
                <c:pt idx="1">
                  <c:v>66.25</c:v>
                </c:pt>
                <c:pt idx="2">
                  <c:v>150.47</c:v>
                </c:pt>
                <c:pt idx="3">
                  <c:v>126.4</c:v>
                </c:pt>
                <c:pt idx="4">
                  <c:v>107.19</c:v>
                </c:pt>
                <c:pt idx="5">
                  <c:v>45.04</c:v>
                </c:pt>
                <c:pt idx="6">
                  <c:v>29.34</c:v>
                </c:pt>
                <c:pt idx="7">
                  <c:v>66.21</c:v>
                </c:pt>
                <c:pt idx="8">
                  <c:v>118.31</c:v>
                </c:pt>
                <c:pt idx="9">
                  <c:v>60.43</c:v>
                </c:pt>
                <c:pt idx="10">
                  <c:v>5.76</c:v>
                </c:pt>
                <c:pt idx="11">
                  <c:v>90.18</c:v>
                </c:pt>
                <c:pt idx="12">
                  <c:v>29.34</c:v>
                </c:pt>
                <c:pt idx="13">
                  <c:v>127.3</c:v>
                </c:pt>
                <c:pt idx="14">
                  <c:v>6.46</c:v>
                </c:pt>
                <c:pt idx="15">
                  <c:v>39.32</c:v>
                </c:pt>
                <c:pt idx="16">
                  <c:v>77.56</c:v>
                </c:pt>
                <c:pt idx="17">
                  <c:v>30.44</c:v>
                </c:pt>
                <c:pt idx="18">
                  <c:v>80.09</c:v>
                </c:pt>
                <c:pt idx="19">
                  <c:v>169.98</c:v>
                </c:pt>
                <c:pt idx="20">
                  <c:v>88.8</c:v>
                </c:pt>
                <c:pt idx="21">
                  <c:v>70.71</c:v>
                </c:pt>
                <c:pt idx="22">
                  <c:v>25.03</c:v>
                </c:pt>
                <c:pt idx="23">
                  <c:v>39.98</c:v>
                </c:pt>
                <c:pt idx="24">
                  <c:v>176.36</c:v>
                </c:pt>
                <c:pt idx="25">
                  <c:v>39.12</c:v>
                </c:pt>
                <c:pt idx="26">
                  <c:v>0.33</c:v>
                </c:pt>
                <c:pt idx="27">
                  <c:v>117.28</c:v>
                </c:pt>
                <c:pt idx="28">
                  <c:v>1.11</c:v>
                </c:pt>
                <c:pt idx="29">
                  <c:v>1.01</c:v>
                </c:pt>
              </c:numCache>
            </c:numRef>
          </c:val>
          <c:smooth val="0"/>
        </c:ser>
        <c:dLbls>
          <c:showLegendKey val="0"/>
          <c:showVal val="0"/>
          <c:showCatName val="0"/>
          <c:showSerName val="0"/>
          <c:showPercent val="0"/>
          <c:showBubbleSize val="0"/>
        </c:dLbls>
        <c:marker val="0"/>
        <c:smooth val="0"/>
        <c:axId val="1864652031"/>
        <c:axId val="1864653279"/>
      </c:lineChart>
      <c:catAx>
        <c:axId val="186465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1864653279"/>
        <c:crosses val="autoZero"/>
        <c:auto val="1"/>
        <c:lblAlgn val="ctr"/>
        <c:lblOffset val="100"/>
        <c:noMultiLvlLbl val="0"/>
      </c:catAx>
      <c:valAx>
        <c:axId val="186465327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186465203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vert="eaVert"/>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'污染物总量（乡镇）'!$K$2</c:f>
              <c:strCache>
                <c:ptCount val="1"/>
                <c:pt idx="0">
                  <c:v>COD</c:v>
                </c:pt>
              </c:strCache>
            </c:strRef>
          </c:tx>
          <c:spPr>
            <a:solidFill>
              <a:schemeClr val="accent1"/>
            </a:solidFill>
            <a:ln>
              <a:noFill/>
            </a:ln>
            <a:effectLst/>
          </c:spPr>
          <c:invertIfNegative val="0"/>
          <c:dLbls>
            <c:dLbl>
              <c:idx val="28"/>
              <c:layout/>
              <c:numFmt formatCode="General" sourceLinked="1"/>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方正楷体_GBK" panose="03000509000000000000" pitchFamily="4" charset="-122"/>
                      <a:cs typeface="Times New Roman" panose="02020603050405020304" charset="0"/>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'污染物总量（乡镇）'!$J$3:$J$31</c:f>
              <c:strCache>
                <c:ptCount val="29"/>
                <c:pt idx="0">
                  <c:v>四屏镇</c:v>
                </c:pt>
                <c:pt idx="1">
                  <c:v>中山镇</c:v>
                </c:pt>
                <c:pt idx="2">
                  <c:v>四面山镇</c:v>
                </c:pt>
                <c:pt idx="3">
                  <c:v>广兴镇</c:v>
                </c:pt>
                <c:pt idx="4">
                  <c:v>双福街道</c:v>
                </c:pt>
                <c:pt idx="5">
                  <c:v>石门镇</c:v>
                </c:pt>
                <c:pt idx="6">
                  <c:v>珞璜镇</c:v>
                </c:pt>
                <c:pt idx="7">
                  <c:v>朱杨镇</c:v>
                </c:pt>
                <c:pt idx="8">
                  <c:v>嘉平镇</c:v>
                </c:pt>
                <c:pt idx="9">
                  <c:v>杜市镇</c:v>
                </c:pt>
                <c:pt idx="10">
                  <c:v>永兴镇</c:v>
                </c:pt>
                <c:pt idx="11">
                  <c:v>几江街道</c:v>
                </c:pt>
                <c:pt idx="12">
                  <c:v>圣泉街道</c:v>
                </c:pt>
                <c:pt idx="13">
                  <c:v>蔡家镇</c:v>
                </c:pt>
                <c:pt idx="14">
                  <c:v>支坪镇</c:v>
                </c:pt>
                <c:pt idx="15">
                  <c:v>夏坝镇</c:v>
                </c:pt>
                <c:pt idx="16">
                  <c:v>石蟆镇</c:v>
                </c:pt>
                <c:pt idx="17">
                  <c:v>贾嗣镇</c:v>
                </c:pt>
                <c:pt idx="18">
                  <c:v>柏林镇</c:v>
                </c:pt>
                <c:pt idx="19">
                  <c:v>塘河镇</c:v>
                </c:pt>
                <c:pt idx="20">
                  <c:v>慈云镇</c:v>
                </c:pt>
                <c:pt idx="21">
                  <c:v>西湖镇</c:v>
                </c:pt>
                <c:pt idx="22">
                  <c:v>龙华镇</c:v>
                </c:pt>
                <c:pt idx="23">
                  <c:v>油溪镇</c:v>
                </c:pt>
                <c:pt idx="24">
                  <c:v>德感街道</c:v>
                </c:pt>
                <c:pt idx="25">
                  <c:v>先锋镇</c:v>
                </c:pt>
                <c:pt idx="26">
                  <c:v>吴滩镇</c:v>
                </c:pt>
                <c:pt idx="27">
                  <c:v>白沙镇</c:v>
                </c:pt>
                <c:pt idx="28">
                  <c:v>李市镇</c:v>
                </c:pt>
              </c:strCache>
            </c:strRef>
          </c:cat>
          <c:val>
            <c:numRef>
              <c:f>'污染物总量（乡镇）'!$K$3:$K$31</c:f>
              <c:numCache>
                <c:formatCode>0.00_);[Red]\(0.00\)</c:formatCode>
                <c:ptCount val="29"/>
                <c:pt idx="0">
                  <c:v>1.3671196</c:v>
                </c:pt>
                <c:pt idx="1">
                  <c:v>6.38616</c:v>
                </c:pt>
                <c:pt idx="2">
                  <c:v>9.80729</c:v>
                </c:pt>
                <c:pt idx="3">
                  <c:v>23.8342289111111</c:v>
                </c:pt>
                <c:pt idx="4">
                  <c:v>27.720247</c:v>
                </c:pt>
                <c:pt idx="5">
                  <c:v>52.295241</c:v>
                </c:pt>
                <c:pt idx="6">
                  <c:v>56.67717</c:v>
                </c:pt>
                <c:pt idx="7">
                  <c:v>63.0548048</c:v>
                </c:pt>
                <c:pt idx="8">
                  <c:v>76.63392</c:v>
                </c:pt>
                <c:pt idx="9">
                  <c:v>89.73990328</c:v>
                </c:pt>
                <c:pt idx="10">
                  <c:v>99.3559825</c:v>
                </c:pt>
                <c:pt idx="11">
                  <c:v>107.84051</c:v>
                </c:pt>
                <c:pt idx="12">
                  <c:v>123.636215</c:v>
                </c:pt>
                <c:pt idx="13">
                  <c:v>130.704291</c:v>
                </c:pt>
                <c:pt idx="14">
                  <c:v>132.3999706</c:v>
                </c:pt>
                <c:pt idx="15">
                  <c:v>133.5591</c:v>
                </c:pt>
                <c:pt idx="16">
                  <c:v>166.35084712</c:v>
                </c:pt>
                <c:pt idx="17">
                  <c:v>191.675097</c:v>
                </c:pt>
                <c:pt idx="18">
                  <c:v>194.250225</c:v>
                </c:pt>
                <c:pt idx="19">
                  <c:v>200.0211</c:v>
                </c:pt>
                <c:pt idx="20">
                  <c:v>214.161698</c:v>
                </c:pt>
                <c:pt idx="21">
                  <c:v>217.4859272</c:v>
                </c:pt>
                <c:pt idx="22">
                  <c:v>263.715499</c:v>
                </c:pt>
                <c:pt idx="23">
                  <c:v>481.9637978</c:v>
                </c:pt>
                <c:pt idx="24">
                  <c:v>581.87268</c:v>
                </c:pt>
                <c:pt idx="25">
                  <c:v>677.52643</c:v>
                </c:pt>
                <c:pt idx="26">
                  <c:v>733.3045</c:v>
                </c:pt>
                <c:pt idx="27">
                  <c:v>740.448107</c:v>
                </c:pt>
                <c:pt idx="28">
                  <c:v>1686.73737116667</c:v>
                </c:pt>
              </c:numCache>
            </c:numRef>
          </c:val>
        </c:ser>
        <c:dLbls>
          <c:showLegendKey val="0"/>
          <c:showVal val="1"/>
          <c:showCatName val="0"/>
          <c:showSerName val="0"/>
          <c:showPercent val="0"/>
          <c:showBubbleSize val="0"/>
        </c:dLbls>
        <c:gapWidth val="182"/>
        <c:axId val="347768832"/>
        <c:axId val="347763424"/>
      </c:barChart>
      <c:catAx>
        <c:axId val="347768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347763424"/>
        <c:crosses val="autoZero"/>
        <c:auto val="1"/>
        <c:lblAlgn val="ctr"/>
        <c:lblOffset val="100"/>
        <c:noMultiLvlLbl val="0"/>
      </c:catAx>
      <c:valAx>
        <c:axId val="347763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COD</a:t>
                </a:r>
                <a:r>
                  <a:rPr lang="zh-CN" altLang="en-US">
                    <a:solidFill>
                      <a:sysClr val="windowText" lastClr="000000"/>
                    </a:solidFill>
                    <a:latin typeface="方正楷体_GBK" panose="03000509000000000000" pitchFamily="4" charset="-122"/>
                    <a:ea typeface="方正楷体_GBK" panose="03000509000000000000" pitchFamily="4" charset="-122"/>
                  </a:rPr>
                  <a:t>产生量（吨</a:t>
                </a:r>
                <a:r>
                  <a:rPr lang="en-US" altLang="zh-CN">
                    <a:solidFill>
                      <a:sysClr val="windowText" lastClr="000000"/>
                    </a:solidFill>
                    <a:latin typeface="方正楷体_GBK" panose="03000509000000000000" pitchFamily="4" charset="-122"/>
                    <a:ea typeface="方正楷体_GBK" panose="03000509000000000000" pitchFamily="4" charset="-122"/>
                  </a:rPr>
                  <a:t>/</a:t>
                </a:r>
                <a:r>
                  <a:rPr lang="zh-CN" altLang="en-US">
                    <a:solidFill>
                      <a:sysClr val="windowText" lastClr="000000"/>
                    </a:solidFill>
                    <a:latin typeface="方正楷体_GBK" panose="03000509000000000000" pitchFamily="4" charset="-122"/>
                    <a:ea typeface="方正楷体_GBK" panose="03000509000000000000" pitchFamily="4" charset="-122"/>
                  </a:rPr>
                  <a:t>年）</a:t>
                </a:r>
                <a:endParaRPr lang="zh-CN" altLang="en-US">
                  <a:solidFill>
                    <a:sysClr val="windowText" lastClr="000000"/>
                  </a:solidFill>
                  <a:latin typeface="方正楷体_GBK" panose="03000509000000000000" pitchFamily="4" charset="-122"/>
                  <a:ea typeface="方正楷体_GBK" panose="03000509000000000000" pitchFamily="4" charset="-122"/>
                </a:endParaRPr>
              </a:p>
            </c:rich>
          </c:tx>
          <c:layout>
            <c:manualLayout>
              <c:xMode val="edge"/>
              <c:yMode val="edge"/>
              <c:x val="0.436960924438901"/>
              <c:y val="0.939431884057971"/>
            </c:manualLayout>
          </c:layout>
          <c:overlay val="0"/>
          <c:spPr>
            <a:no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776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'污染物总量（乡镇）'!$N$2</c:f>
              <c:strCache>
                <c:ptCount val="1"/>
                <c:pt idx="0">
                  <c:v>BOD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'污染物总量（乡镇）'!$M$3:$M$31</c:f>
              <c:strCache>
                <c:ptCount val="29"/>
                <c:pt idx="0">
                  <c:v>四屏镇</c:v>
                </c:pt>
                <c:pt idx="1">
                  <c:v>中山镇</c:v>
                </c:pt>
                <c:pt idx="2">
                  <c:v>四面山镇</c:v>
                </c:pt>
                <c:pt idx="3">
                  <c:v>广兴镇</c:v>
                </c:pt>
                <c:pt idx="4">
                  <c:v>双福街道</c:v>
                </c:pt>
                <c:pt idx="5">
                  <c:v>石门镇</c:v>
                </c:pt>
                <c:pt idx="6">
                  <c:v>珞璜镇</c:v>
                </c:pt>
                <c:pt idx="7">
                  <c:v>朱杨镇</c:v>
                </c:pt>
                <c:pt idx="8">
                  <c:v>嘉平镇</c:v>
                </c:pt>
                <c:pt idx="9">
                  <c:v>杜市镇</c:v>
                </c:pt>
                <c:pt idx="10">
                  <c:v>永兴镇</c:v>
                </c:pt>
                <c:pt idx="11">
                  <c:v>几江街道</c:v>
                </c:pt>
                <c:pt idx="12">
                  <c:v>圣泉街道</c:v>
                </c:pt>
                <c:pt idx="13">
                  <c:v>夏坝镇</c:v>
                </c:pt>
                <c:pt idx="14">
                  <c:v>蔡家镇</c:v>
                </c:pt>
                <c:pt idx="15">
                  <c:v>支坪镇</c:v>
                </c:pt>
                <c:pt idx="16">
                  <c:v>石蟆镇</c:v>
                </c:pt>
                <c:pt idx="17">
                  <c:v>慈云镇</c:v>
                </c:pt>
                <c:pt idx="18">
                  <c:v>柏林镇</c:v>
                </c:pt>
                <c:pt idx="19">
                  <c:v>贾嗣镇</c:v>
                </c:pt>
                <c:pt idx="20">
                  <c:v>塘河镇</c:v>
                </c:pt>
                <c:pt idx="21">
                  <c:v>西湖镇</c:v>
                </c:pt>
                <c:pt idx="22">
                  <c:v>龙华镇</c:v>
                </c:pt>
                <c:pt idx="23">
                  <c:v>油溪镇</c:v>
                </c:pt>
                <c:pt idx="24">
                  <c:v>德感街道</c:v>
                </c:pt>
                <c:pt idx="25">
                  <c:v>先锋镇</c:v>
                </c:pt>
                <c:pt idx="26">
                  <c:v>吴滩镇</c:v>
                </c:pt>
                <c:pt idx="27">
                  <c:v>白沙镇</c:v>
                </c:pt>
                <c:pt idx="28">
                  <c:v>李市镇</c:v>
                </c:pt>
              </c:strCache>
            </c:strRef>
          </c:cat>
          <c:val>
            <c:numRef>
              <c:f>'污染物总量（乡镇）'!$N$3:$N$31</c:f>
              <c:numCache>
                <c:formatCode>0.00_);[Red]\(0.00\)</c:formatCode>
                <c:ptCount val="29"/>
                <c:pt idx="0">
                  <c:v>1.331619</c:v>
                </c:pt>
                <c:pt idx="1">
                  <c:v>6.2359056</c:v>
                </c:pt>
                <c:pt idx="2">
                  <c:v>8.7487904</c:v>
                </c:pt>
                <c:pt idx="3">
                  <c:v>21.9815544666667</c:v>
                </c:pt>
                <c:pt idx="4">
                  <c:v>26.01980362</c:v>
                </c:pt>
                <c:pt idx="5">
                  <c:v>47.09354806</c:v>
                </c:pt>
                <c:pt idx="6">
                  <c:v>55.3436622</c:v>
                </c:pt>
                <c:pt idx="7">
                  <c:v>57.8928372</c:v>
                </c:pt>
                <c:pt idx="8">
                  <c:v>74.8308672</c:v>
                </c:pt>
                <c:pt idx="9">
                  <c:v>87.3223566</c:v>
                </c:pt>
                <c:pt idx="10">
                  <c:v>95.7963058</c:v>
                </c:pt>
                <c:pt idx="11">
                  <c:v>104.2407286</c:v>
                </c:pt>
                <c:pt idx="12">
                  <c:v>121.9244169</c:v>
                </c:pt>
                <c:pt idx="13">
                  <c:v>124.573746</c:v>
                </c:pt>
                <c:pt idx="14">
                  <c:v>124.61160556</c:v>
                </c:pt>
                <c:pt idx="15">
                  <c:v>129.313777596</c:v>
                </c:pt>
                <c:pt idx="16">
                  <c:v>156.59874022</c:v>
                </c:pt>
                <c:pt idx="17">
                  <c:v>178.27636068</c:v>
                </c:pt>
                <c:pt idx="18">
                  <c:v>186.8300525</c:v>
                </c:pt>
                <c:pt idx="19">
                  <c:v>191.63650782</c:v>
                </c:pt>
                <c:pt idx="20">
                  <c:v>195.354882</c:v>
                </c:pt>
                <c:pt idx="21">
                  <c:v>208.2641384</c:v>
                </c:pt>
                <c:pt idx="22">
                  <c:v>240.98037014</c:v>
                </c:pt>
                <c:pt idx="23">
                  <c:v>460.9896814</c:v>
                </c:pt>
                <c:pt idx="24">
                  <c:v>548.9032988</c:v>
                </c:pt>
                <c:pt idx="25">
                  <c:v>613.3783426</c:v>
                </c:pt>
                <c:pt idx="26">
                  <c:v>719.298998</c:v>
                </c:pt>
                <c:pt idx="27">
                  <c:v>731.05672592</c:v>
                </c:pt>
                <c:pt idx="28">
                  <c:v>1568.65106177</c:v>
                </c:pt>
              </c:numCache>
            </c:numRef>
          </c:val>
        </c:ser>
        <c:dLbls>
          <c:showLegendKey val="0"/>
          <c:showVal val="1"/>
          <c:showCatName val="0"/>
          <c:showSerName val="0"/>
          <c:showPercent val="0"/>
          <c:showBubbleSize val="0"/>
        </c:dLbls>
        <c:gapWidth val="182"/>
        <c:axId val="619252080"/>
        <c:axId val="619241680"/>
      </c:barChart>
      <c:catAx>
        <c:axId val="61925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619241680"/>
        <c:crosses val="autoZero"/>
        <c:auto val="1"/>
        <c:lblAlgn val="ctr"/>
        <c:lblOffset val="100"/>
        <c:noMultiLvlLbl val="0"/>
      </c:catAx>
      <c:valAx>
        <c:axId val="619241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Times New Roman" panose="02020603050405020304" charset="0"/>
                  </a:defRPr>
                </a:pP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BOD</a:t>
                </a:r>
                <a:r>
                  <a:rPr lang="zh-CN" altLang="en-US">
                    <a:solidFill>
                      <a:sysClr val="windowText" lastClr="000000"/>
                    </a:solidFill>
                    <a:latin typeface="方正楷体_GBK" panose="03000509000000000000" pitchFamily="4" charset="-122"/>
                    <a:ea typeface="方正楷体_GBK" panose="03000509000000000000" pitchFamily="4" charset="-122"/>
                    <a:cs typeface="Times New Roman" panose="02020603050405020304" charset="0"/>
                  </a:rPr>
                  <a:t>产生量（吨</a:t>
                </a:r>
                <a:r>
                  <a:rPr lang="en-US" altLang="zh-CN">
                    <a:solidFill>
                      <a:sysClr val="windowText" lastClr="000000"/>
                    </a:solidFill>
                    <a:latin typeface="方正楷体_GBK" panose="03000509000000000000" pitchFamily="4" charset="-122"/>
                    <a:ea typeface="方正楷体_GBK" panose="03000509000000000000" pitchFamily="4" charset="-122"/>
                    <a:cs typeface="Times New Roman" panose="02020603050405020304" charset="0"/>
                  </a:rPr>
                  <a:t>/</a:t>
                </a:r>
                <a:r>
                  <a:rPr lang="zh-CN" altLang="en-US">
                    <a:solidFill>
                      <a:sysClr val="windowText" lastClr="000000"/>
                    </a:solidFill>
                    <a:latin typeface="方正楷体_GBK" panose="03000509000000000000" pitchFamily="4" charset="-122"/>
                    <a:ea typeface="方正楷体_GBK" panose="03000509000000000000" pitchFamily="4" charset="-122"/>
                    <a:cs typeface="Times New Roman" panose="02020603050405020304" charset="0"/>
                  </a:rPr>
                  <a:t>年）</a:t>
                </a:r>
                <a:endParaRPr lang="zh-CN" altLang="en-US">
                  <a:solidFill>
                    <a:sysClr val="windowText" lastClr="000000"/>
                  </a:solidFill>
                  <a:latin typeface="方正楷体_GBK" panose="03000509000000000000" pitchFamily="4" charset="-122"/>
                  <a:ea typeface="方正楷体_GBK" panose="03000509000000000000" pitchFamily="4" charset="-122"/>
                  <a:cs typeface="Times New Roman" panose="02020603050405020304" charset="0"/>
                </a:endParaRPr>
              </a:p>
            </c:rich>
          </c:tx>
          <c:layout>
            <c:manualLayout>
              <c:xMode val="edge"/>
              <c:yMode val="edge"/>
              <c:x val="0.424856961372979"/>
              <c:y val="0.94144307506634"/>
            </c:manualLayout>
          </c:layout>
          <c:overlay val="0"/>
          <c:spPr>
            <a:solidFill>
              <a:sysClr val="window" lastClr="FFFFFF"/>
            </a:solid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619252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'污染物总量（乡镇）'!$Q$2</c:f>
              <c:strCache>
                <c:ptCount val="1"/>
                <c:pt idx="0">
                  <c:v>NH3-N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'污染物总量（乡镇）'!$P$3:$P$31</c:f>
              <c:strCache>
                <c:ptCount val="29"/>
                <c:pt idx="0">
                  <c:v>四屏镇</c:v>
                </c:pt>
                <c:pt idx="1">
                  <c:v>中山镇</c:v>
                </c:pt>
                <c:pt idx="2">
                  <c:v>四面山镇</c:v>
                </c:pt>
                <c:pt idx="3">
                  <c:v>广兴镇</c:v>
                </c:pt>
                <c:pt idx="4">
                  <c:v>双福街道</c:v>
                </c:pt>
                <c:pt idx="5">
                  <c:v>珞璜镇</c:v>
                </c:pt>
                <c:pt idx="6">
                  <c:v>石门镇</c:v>
                </c:pt>
                <c:pt idx="7">
                  <c:v>朱杨镇</c:v>
                </c:pt>
                <c:pt idx="8">
                  <c:v>嘉平镇</c:v>
                </c:pt>
                <c:pt idx="9">
                  <c:v>杜市镇</c:v>
                </c:pt>
                <c:pt idx="10">
                  <c:v>永兴镇</c:v>
                </c:pt>
                <c:pt idx="11">
                  <c:v>圣泉街道</c:v>
                </c:pt>
                <c:pt idx="12">
                  <c:v>支坪镇</c:v>
                </c:pt>
                <c:pt idx="13">
                  <c:v>几江街道</c:v>
                </c:pt>
                <c:pt idx="14">
                  <c:v>蔡家镇</c:v>
                </c:pt>
                <c:pt idx="15">
                  <c:v>夏坝镇</c:v>
                </c:pt>
                <c:pt idx="16">
                  <c:v>石蟆镇</c:v>
                </c:pt>
                <c:pt idx="17">
                  <c:v>塘河镇</c:v>
                </c:pt>
                <c:pt idx="18">
                  <c:v>柏林镇</c:v>
                </c:pt>
                <c:pt idx="19">
                  <c:v>贾嗣镇</c:v>
                </c:pt>
                <c:pt idx="20">
                  <c:v>西湖镇</c:v>
                </c:pt>
                <c:pt idx="21">
                  <c:v>慈云镇</c:v>
                </c:pt>
                <c:pt idx="22">
                  <c:v>龙华镇</c:v>
                </c:pt>
                <c:pt idx="23">
                  <c:v>油溪镇</c:v>
                </c:pt>
                <c:pt idx="24">
                  <c:v>德感街道</c:v>
                </c:pt>
                <c:pt idx="25">
                  <c:v>吴滩镇</c:v>
                </c:pt>
                <c:pt idx="26">
                  <c:v>白沙镇</c:v>
                </c:pt>
                <c:pt idx="27">
                  <c:v>先锋镇</c:v>
                </c:pt>
                <c:pt idx="28">
                  <c:v>李市镇</c:v>
                </c:pt>
              </c:strCache>
            </c:strRef>
          </c:cat>
          <c:val>
            <c:numRef>
              <c:f>'污染物总量（乡镇）'!$Q$3:$Q$31</c:f>
              <c:numCache>
                <c:formatCode>0.00_);[Red]\(0.00\)</c:formatCode>
                <c:ptCount val="29"/>
                <c:pt idx="0">
                  <c:v>0.114016</c:v>
                </c:pt>
                <c:pt idx="1">
                  <c:v>0.516864</c:v>
                </c:pt>
                <c:pt idx="2">
                  <c:v>0.880401</c:v>
                </c:pt>
                <c:pt idx="3">
                  <c:v>1.79896577777778</c:v>
                </c:pt>
                <c:pt idx="4">
                  <c:v>2.2293378</c:v>
                </c:pt>
                <c:pt idx="5">
                  <c:v>4.587168</c:v>
                </c:pt>
                <c:pt idx="6">
                  <c:v>5.0002904</c:v>
                </c:pt>
                <c:pt idx="7">
                  <c:v>5.745536</c:v>
                </c:pt>
                <c:pt idx="8">
                  <c:v>6.202368</c:v>
                </c:pt>
                <c:pt idx="9">
                  <c:v>7.3518898</c:v>
                </c:pt>
                <c:pt idx="10">
                  <c:v>9.8240772</c:v>
                </c:pt>
                <c:pt idx="11">
                  <c:v>10.350608</c:v>
                </c:pt>
                <c:pt idx="12">
                  <c:v>10.72411048</c:v>
                </c:pt>
                <c:pt idx="13">
                  <c:v>10.9047508</c:v>
                </c:pt>
                <c:pt idx="14">
                  <c:v>11.2645904</c:v>
                </c:pt>
                <c:pt idx="15">
                  <c:v>11.42124</c:v>
                </c:pt>
                <c:pt idx="16">
                  <c:v>14.6205744</c:v>
                </c:pt>
                <c:pt idx="17">
                  <c:v>16.2001824</c:v>
                </c:pt>
                <c:pt idx="18">
                  <c:v>16.290886</c:v>
                </c:pt>
                <c:pt idx="19">
                  <c:v>16.8607176</c:v>
                </c:pt>
                <c:pt idx="20">
                  <c:v>18.56952</c:v>
                </c:pt>
                <c:pt idx="21">
                  <c:v>20.9533292</c:v>
                </c:pt>
                <c:pt idx="22">
                  <c:v>24.24853172</c:v>
                </c:pt>
                <c:pt idx="23">
                  <c:v>44.764057</c:v>
                </c:pt>
                <c:pt idx="24">
                  <c:v>53.962666</c:v>
                </c:pt>
                <c:pt idx="25">
                  <c:v>60.960158</c:v>
                </c:pt>
                <c:pt idx="26">
                  <c:v>62.7486048</c:v>
                </c:pt>
                <c:pt idx="27">
                  <c:v>64.631694</c:v>
                </c:pt>
                <c:pt idx="28">
                  <c:v>157.110736466667</c:v>
                </c:pt>
              </c:numCache>
            </c:numRef>
          </c:val>
        </c:ser>
        <c:dLbls>
          <c:showLegendKey val="0"/>
          <c:showVal val="1"/>
          <c:showCatName val="0"/>
          <c:showSerName val="0"/>
          <c:showPercent val="0"/>
          <c:showBubbleSize val="0"/>
        </c:dLbls>
        <c:gapWidth val="182"/>
        <c:axId val="349964144"/>
        <c:axId val="349950416"/>
      </c:barChart>
      <c:catAx>
        <c:axId val="349964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349950416"/>
        <c:crosses val="autoZero"/>
        <c:auto val="1"/>
        <c:lblAlgn val="ctr"/>
        <c:lblOffset val="100"/>
        <c:noMultiLvlLbl val="0"/>
      </c:catAx>
      <c:valAx>
        <c:axId val="349950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NH</a:t>
                </a:r>
                <a:r>
                  <a:rPr lang="en-US" altLang="zh-CN" baseline="-25000">
                    <a:solidFill>
                      <a:sysClr val="windowText" lastClr="000000"/>
                    </a:solidFill>
                    <a:latin typeface="Times New Roman" panose="02020603050405020304" charset="0"/>
                    <a:ea typeface="方正楷体_GBK" panose="03000509000000000000" pitchFamily="4" charset="-122"/>
                    <a:cs typeface="Times New Roman" panose="02020603050405020304" charset="0"/>
                  </a:rPr>
                  <a:t>3</a:t>
                </a: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-N</a:t>
                </a:r>
                <a:r>
                  <a:rPr lang="zh-CN" altLang="en-US">
                    <a:solidFill>
                      <a:sysClr val="windowText" lastClr="000000"/>
                    </a:solidFill>
                    <a:latin typeface="方正楷体_GBK" panose="03000509000000000000" pitchFamily="4" charset="-122"/>
                    <a:ea typeface="方正楷体_GBK" panose="03000509000000000000" pitchFamily="4" charset="-122"/>
                  </a:rPr>
                  <a:t>产生量（吨</a:t>
                </a:r>
                <a:r>
                  <a:rPr lang="en-US" altLang="zh-CN">
                    <a:solidFill>
                      <a:sysClr val="windowText" lastClr="000000"/>
                    </a:solidFill>
                    <a:latin typeface="方正楷体_GBK" panose="03000509000000000000" pitchFamily="4" charset="-122"/>
                    <a:ea typeface="方正楷体_GBK" panose="03000509000000000000" pitchFamily="4" charset="-122"/>
                  </a:rPr>
                  <a:t>/</a:t>
                </a:r>
                <a:r>
                  <a:rPr lang="zh-CN" altLang="en-US">
                    <a:solidFill>
                      <a:sysClr val="windowText" lastClr="000000"/>
                    </a:solidFill>
                    <a:latin typeface="方正楷体_GBK" panose="03000509000000000000" pitchFamily="4" charset="-122"/>
                    <a:ea typeface="方正楷体_GBK" panose="03000509000000000000" pitchFamily="4" charset="-122"/>
                  </a:rPr>
                  <a:t>年）</a:t>
                </a:r>
                <a:endParaRPr lang="zh-CN" altLang="en-US">
                  <a:solidFill>
                    <a:sysClr val="windowText" lastClr="000000"/>
                  </a:solidFill>
                  <a:latin typeface="方正楷体_GBK" panose="03000509000000000000" pitchFamily="4" charset="-122"/>
                  <a:ea typeface="方正楷体_GBK" panose="03000509000000000000" pitchFamily="4" charset="-122"/>
                </a:endParaRPr>
              </a:p>
            </c:rich>
          </c:tx>
          <c:layout>
            <c:manualLayout>
              <c:xMode val="edge"/>
              <c:yMode val="edge"/>
              <c:x val="0.405561545919588"/>
              <c:y val="0.953430585990023"/>
            </c:manualLayout>
          </c:layout>
          <c:overlay val="0"/>
          <c:spPr>
            <a:no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3499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'污染物总量（乡镇）'!$T$2</c:f>
              <c:strCache>
                <c:ptCount val="1"/>
                <c:pt idx="0">
                  <c:v>TP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'污染物总量（乡镇）'!$S$3:$S$31</c:f>
              <c:strCache>
                <c:ptCount val="29"/>
                <c:pt idx="0">
                  <c:v>四屏镇</c:v>
                </c:pt>
                <c:pt idx="1">
                  <c:v>中山镇</c:v>
                </c:pt>
                <c:pt idx="2">
                  <c:v>四面山镇</c:v>
                </c:pt>
                <c:pt idx="3">
                  <c:v>双福街道</c:v>
                </c:pt>
                <c:pt idx="4">
                  <c:v>广兴镇</c:v>
                </c:pt>
                <c:pt idx="5">
                  <c:v>石门镇</c:v>
                </c:pt>
                <c:pt idx="6">
                  <c:v>珞璜镇</c:v>
                </c:pt>
                <c:pt idx="7">
                  <c:v>朱杨镇</c:v>
                </c:pt>
                <c:pt idx="8">
                  <c:v>嘉平镇</c:v>
                </c:pt>
                <c:pt idx="9">
                  <c:v>杜市镇</c:v>
                </c:pt>
                <c:pt idx="10">
                  <c:v>夏坝镇</c:v>
                </c:pt>
                <c:pt idx="11">
                  <c:v>支坪镇</c:v>
                </c:pt>
                <c:pt idx="12">
                  <c:v>永兴镇</c:v>
                </c:pt>
                <c:pt idx="13">
                  <c:v>蔡家镇</c:v>
                </c:pt>
                <c:pt idx="14">
                  <c:v>圣泉街道</c:v>
                </c:pt>
                <c:pt idx="15">
                  <c:v>几江街道</c:v>
                </c:pt>
                <c:pt idx="16">
                  <c:v>慈云镇</c:v>
                </c:pt>
                <c:pt idx="17">
                  <c:v>石蟆镇</c:v>
                </c:pt>
                <c:pt idx="18">
                  <c:v>柏林镇</c:v>
                </c:pt>
                <c:pt idx="19">
                  <c:v>塘河镇</c:v>
                </c:pt>
                <c:pt idx="20">
                  <c:v>西湖镇</c:v>
                </c:pt>
                <c:pt idx="21">
                  <c:v>贾嗣镇</c:v>
                </c:pt>
                <c:pt idx="22">
                  <c:v>龙华镇</c:v>
                </c:pt>
                <c:pt idx="23">
                  <c:v>油溪镇</c:v>
                </c:pt>
                <c:pt idx="24">
                  <c:v>德感街道</c:v>
                </c:pt>
                <c:pt idx="25">
                  <c:v>先锋镇</c:v>
                </c:pt>
                <c:pt idx="26">
                  <c:v>吴滩镇</c:v>
                </c:pt>
                <c:pt idx="27">
                  <c:v>白沙镇</c:v>
                </c:pt>
                <c:pt idx="28">
                  <c:v>李市镇</c:v>
                </c:pt>
              </c:strCache>
            </c:strRef>
          </c:cat>
          <c:val>
            <c:numRef>
              <c:f>'污染物总量（乡镇）'!$T$3:$T$31</c:f>
              <c:numCache>
                <c:formatCode>0.00_);[Red]\(0.00\)</c:formatCode>
                <c:ptCount val="29"/>
                <c:pt idx="0">
                  <c:v>0.1038434</c:v>
                </c:pt>
                <c:pt idx="1">
                  <c:v>0.4077168</c:v>
                </c:pt>
                <c:pt idx="2">
                  <c:v>0.5280102</c:v>
                </c:pt>
                <c:pt idx="3">
                  <c:v>1.78329186</c:v>
                </c:pt>
                <c:pt idx="4">
                  <c:v>2.31394615555556</c:v>
                </c:pt>
                <c:pt idx="5">
                  <c:v>3.32785018</c:v>
                </c:pt>
                <c:pt idx="6">
                  <c:v>3.6184866</c:v>
                </c:pt>
                <c:pt idx="7">
                  <c:v>4.8652428</c:v>
                </c:pt>
                <c:pt idx="8">
                  <c:v>4.8926016</c:v>
                </c:pt>
                <c:pt idx="9">
                  <c:v>6.03201232</c:v>
                </c:pt>
                <c:pt idx="10">
                  <c:v>7.834278</c:v>
                </c:pt>
                <c:pt idx="11">
                  <c:v>8.471167148</c:v>
                </c:pt>
                <c:pt idx="12">
                  <c:v>8.4746152</c:v>
                </c:pt>
                <c:pt idx="13">
                  <c:v>8.55868268</c:v>
                </c:pt>
                <c:pt idx="14">
                  <c:v>8.6485087</c:v>
                </c:pt>
                <c:pt idx="15">
                  <c:v>9.457031</c:v>
                </c:pt>
                <c:pt idx="16">
                  <c:v>10.52724004</c:v>
                </c:pt>
                <c:pt idx="17">
                  <c:v>11.79964874</c:v>
                </c:pt>
                <c:pt idx="18">
                  <c:v>12.5941015</c:v>
                </c:pt>
                <c:pt idx="19">
                  <c:v>12.7952796</c:v>
                </c:pt>
                <c:pt idx="20">
                  <c:v>14.897318</c:v>
                </c:pt>
                <c:pt idx="21">
                  <c:v>15.35047866</c:v>
                </c:pt>
                <c:pt idx="22">
                  <c:v>16.4110291</c:v>
                </c:pt>
                <c:pt idx="23">
                  <c:v>38.4530364</c:v>
                </c:pt>
                <c:pt idx="24">
                  <c:v>41.1998624</c:v>
                </c:pt>
                <c:pt idx="25">
                  <c:v>44.8211378</c:v>
                </c:pt>
                <c:pt idx="26">
                  <c:v>50.102036</c:v>
                </c:pt>
                <c:pt idx="27">
                  <c:v>56.50640776</c:v>
                </c:pt>
                <c:pt idx="28">
                  <c:v>118.119272643333</c:v>
                </c:pt>
              </c:numCache>
            </c:numRef>
          </c:val>
        </c:ser>
        <c:dLbls>
          <c:showLegendKey val="0"/>
          <c:showVal val="1"/>
          <c:showCatName val="0"/>
          <c:showSerName val="0"/>
          <c:showPercent val="0"/>
          <c:showBubbleSize val="0"/>
        </c:dLbls>
        <c:gapWidth val="182"/>
        <c:axId val="516334000"/>
        <c:axId val="516316528"/>
      </c:barChart>
      <c:catAx>
        <c:axId val="51633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516316528"/>
        <c:crosses val="autoZero"/>
        <c:auto val="1"/>
        <c:lblAlgn val="ctr"/>
        <c:lblOffset val="100"/>
        <c:noMultiLvlLbl val="0"/>
      </c:catAx>
      <c:valAx>
        <c:axId val="516316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TP</a:t>
                </a:r>
                <a:r>
                  <a:rPr lang="zh-CN" altLang="en-US">
                    <a:solidFill>
                      <a:sysClr val="windowText" lastClr="000000"/>
                    </a:solidFill>
                    <a:latin typeface="方正楷体_GBK" panose="03000509000000000000" pitchFamily="4" charset="-122"/>
                    <a:ea typeface="方正楷体_GBK" panose="03000509000000000000" pitchFamily="4" charset="-122"/>
                  </a:rPr>
                  <a:t>产生量（吨</a:t>
                </a:r>
                <a:r>
                  <a:rPr lang="en-US" altLang="zh-CN">
                    <a:solidFill>
                      <a:sysClr val="windowText" lastClr="000000"/>
                    </a:solidFill>
                    <a:latin typeface="方正楷体_GBK" panose="03000509000000000000" pitchFamily="4" charset="-122"/>
                    <a:ea typeface="方正楷体_GBK" panose="03000509000000000000" pitchFamily="4" charset="-122"/>
                  </a:rPr>
                  <a:t>/</a:t>
                </a:r>
                <a:r>
                  <a:rPr lang="zh-CN" altLang="en-US">
                    <a:solidFill>
                      <a:sysClr val="windowText" lastClr="000000"/>
                    </a:solidFill>
                    <a:latin typeface="方正楷体_GBK" panose="03000509000000000000" pitchFamily="4" charset="-122"/>
                    <a:ea typeface="方正楷体_GBK" panose="03000509000000000000" pitchFamily="4" charset="-122"/>
                  </a:rPr>
                  <a:t>年）</a:t>
                </a:r>
                <a:endParaRPr lang="zh-CN" altLang="en-US">
                  <a:solidFill>
                    <a:sysClr val="windowText" lastClr="000000"/>
                  </a:solidFill>
                  <a:latin typeface="方正楷体_GBK" panose="03000509000000000000" pitchFamily="4" charset="-122"/>
                  <a:ea typeface="方正楷体_GBK" panose="03000509000000000000" pitchFamily="4" charset="-122"/>
                </a:endParaRPr>
              </a:p>
            </c:rich>
          </c:tx>
          <c:layout>
            <c:manualLayout>
              <c:xMode val="edge"/>
              <c:yMode val="edge"/>
              <c:x val="0.44697080557238"/>
              <c:y val="0.940158439975625"/>
            </c:manualLayout>
          </c:layout>
          <c:overlay val="0"/>
          <c:spPr>
            <a:no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51633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'污染物总量（乡镇）'!$W$2</c:f>
              <c:strCache>
                <c:ptCount val="1"/>
                <c:pt idx="0">
                  <c:v>TN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'污染物总量（乡镇）'!$V$3:$V$31</c:f>
              <c:strCache>
                <c:ptCount val="29"/>
                <c:pt idx="0">
                  <c:v>四屏镇</c:v>
                </c:pt>
                <c:pt idx="1">
                  <c:v>中山镇</c:v>
                </c:pt>
                <c:pt idx="2">
                  <c:v>四面山镇</c:v>
                </c:pt>
                <c:pt idx="3">
                  <c:v>双福街道</c:v>
                </c:pt>
                <c:pt idx="4">
                  <c:v>广兴镇</c:v>
                </c:pt>
                <c:pt idx="5">
                  <c:v>珞璜镇</c:v>
                </c:pt>
                <c:pt idx="6">
                  <c:v>石门镇</c:v>
                </c:pt>
                <c:pt idx="7">
                  <c:v>嘉平镇</c:v>
                </c:pt>
                <c:pt idx="8">
                  <c:v>朱杨镇</c:v>
                </c:pt>
                <c:pt idx="9">
                  <c:v>杜市镇</c:v>
                </c:pt>
                <c:pt idx="10">
                  <c:v>圣泉街道</c:v>
                </c:pt>
                <c:pt idx="11">
                  <c:v>永兴镇</c:v>
                </c:pt>
                <c:pt idx="12">
                  <c:v>支坪镇</c:v>
                </c:pt>
                <c:pt idx="13">
                  <c:v>几江街道</c:v>
                </c:pt>
                <c:pt idx="14">
                  <c:v>蔡家镇</c:v>
                </c:pt>
                <c:pt idx="15">
                  <c:v>夏坝镇</c:v>
                </c:pt>
                <c:pt idx="16">
                  <c:v>塘河镇</c:v>
                </c:pt>
                <c:pt idx="17">
                  <c:v>石蟆镇</c:v>
                </c:pt>
                <c:pt idx="18">
                  <c:v>柏林镇</c:v>
                </c:pt>
                <c:pt idx="19">
                  <c:v>贾嗣镇</c:v>
                </c:pt>
                <c:pt idx="20">
                  <c:v>西湖镇</c:v>
                </c:pt>
                <c:pt idx="21">
                  <c:v>慈云镇</c:v>
                </c:pt>
                <c:pt idx="22">
                  <c:v>龙华镇</c:v>
                </c:pt>
                <c:pt idx="23">
                  <c:v>油溪镇</c:v>
                </c:pt>
                <c:pt idx="24">
                  <c:v>德感街道</c:v>
                </c:pt>
                <c:pt idx="25">
                  <c:v>吴滩镇</c:v>
                </c:pt>
                <c:pt idx="26">
                  <c:v>白沙镇</c:v>
                </c:pt>
                <c:pt idx="27">
                  <c:v>先锋镇</c:v>
                </c:pt>
                <c:pt idx="28">
                  <c:v>李市镇</c:v>
                </c:pt>
              </c:strCache>
            </c:strRef>
          </c:cat>
          <c:val>
            <c:numRef>
              <c:f>'污染物总量（乡镇）'!$W$3:$W$31</c:f>
              <c:numCache>
                <c:formatCode>0.00_);[Red]\(0.00\)</c:formatCode>
                <c:ptCount val="29"/>
                <c:pt idx="0">
                  <c:v>0.301977</c:v>
                </c:pt>
                <c:pt idx="1">
                  <c:v>1.0820016</c:v>
                </c:pt>
                <c:pt idx="2">
                  <c:v>1.9854684</c:v>
                </c:pt>
                <c:pt idx="3">
                  <c:v>5.03039382</c:v>
                </c:pt>
                <c:pt idx="4">
                  <c:v>6.16498713333333</c:v>
                </c:pt>
                <c:pt idx="5">
                  <c:v>9.6027642</c:v>
                </c:pt>
                <c:pt idx="6">
                  <c:v>11.26772466</c:v>
                </c:pt>
                <c:pt idx="7">
                  <c:v>12.9840192</c:v>
                </c:pt>
                <c:pt idx="8">
                  <c:v>14.2675092</c:v>
                </c:pt>
                <c:pt idx="9">
                  <c:v>16.416135</c:v>
                </c:pt>
                <c:pt idx="10">
                  <c:v>21.6176019</c:v>
                </c:pt>
                <c:pt idx="11">
                  <c:v>21.6721734</c:v>
                </c:pt>
                <c:pt idx="12">
                  <c:v>22.448605476</c:v>
                </c:pt>
                <c:pt idx="13">
                  <c:v>23.695761</c:v>
                </c:pt>
                <c:pt idx="14">
                  <c:v>24.49051716</c:v>
                </c:pt>
                <c:pt idx="15">
                  <c:v>24.914646</c:v>
                </c:pt>
                <c:pt idx="16">
                  <c:v>33.9117372</c:v>
                </c:pt>
                <c:pt idx="17">
                  <c:v>34.99104402</c:v>
                </c:pt>
                <c:pt idx="18">
                  <c:v>35.2180455</c:v>
                </c:pt>
                <c:pt idx="19">
                  <c:v>35.77026042</c:v>
                </c:pt>
                <c:pt idx="20">
                  <c:v>42.3280944</c:v>
                </c:pt>
                <c:pt idx="21">
                  <c:v>49.30142748</c:v>
                </c:pt>
                <c:pt idx="22">
                  <c:v>53.9957913</c:v>
                </c:pt>
                <c:pt idx="23">
                  <c:v>100.1615634</c:v>
                </c:pt>
                <c:pt idx="24">
                  <c:v>117.8914188</c:v>
                </c:pt>
                <c:pt idx="25">
                  <c:v>128.770662</c:v>
                </c:pt>
                <c:pt idx="26">
                  <c:v>134.61336312</c:v>
                </c:pt>
                <c:pt idx="27">
                  <c:v>146.3776086</c:v>
                </c:pt>
                <c:pt idx="28">
                  <c:v>351.76246547</c:v>
                </c:pt>
              </c:numCache>
            </c:numRef>
          </c:val>
        </c:ser>
        <c:dLbls>
          <c:showLegendKey val="0"/>
          <c:showVal val="1"/>
          <c:showCatName val="0"/>
          <c:showSerName val="0"/>
          <c:showPercent val="0"/>
          <c:showBubbleSize val="0"/>
        </c:dLbls>
        <c:gapWidth val="182"/>
        <c:axId val="515769152"/>
        <c:axId val="515758336"/>
      </c:barChart>
      <c:catAx>
        <c:axId val="515769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p>
        </c:txPr>
        <c:crossAx val="515758336"/>
        <c:crosses val="autoZero"/>
        <c:auto val="1"/>
        <c:lblAlgn val="ctr"/>
        <c:lblOffset val="100"/>
        <c:noMultiLvlLbl val="0"/>
      </c:catAx>
      <c:valAx>
        <c:axId val="515758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ysClr val="windowText" lastClr="000000"/>
                    </a:solidFill>
                    <a:latin typeface="方正楷体_GBK" panose="03000509000000000000" pitchFamily="4" charset="-122"/>
                    <a:ea typeface="方正楷体_GBK" panose="03000509000000000000" pitchFamily="4" charset="-122"/>
                    <a:cs typeface="+mn-cs"/>
                  </a:defRPr>
                </a:pPr>
                <a:r>
                  <a:rPr lang="en-US" altLang="zh-CN">
                    <a:solidFill>
                      <a:sysClr val="windowText" lastClr="000000"/>
                    </a:solidFill>
                    <a:latin typeface="Times New Roman" panose="02020603050405020304" charset="0"/>
                    <a:ea typeface="方正楷体_GBK" panose="03000509000000000000" pitchFamily="4" charset="-122"/>
                    <a:cs typeface="Times New Roman" panose="02020603050405020304" charset="0"/>
                  </a:rPr>
                  <a:t>TN</a:t>
                </a:r>
                <a:r>
                  <a:rPr lang="zh-CN" altLang="en-US">
                    <a:solidFill>
                      <a:sysClr val="windowText" lastClr="000000"/>
                    </a:solidFill>
                    <a:latin typeface="方正楷体_GBK" panose="03000509000000000000" pitchFamily="4" charset="-122"/>
                    <a:ea typeface="方正楷体_GBK" panose="03000509000000000000" pitchFamily="4" charset="-122"/>
                  </a:rPr>
                  <a:t>产生量（吨</a:t>
                </a:r>
                <a:r>
                  <a:rPr lang="en-US" altLang="zh-CN">
                    <a:solidFill>
                      <a:sysClr val="windowText" lastClr="000000"/>
                    </a:solidFill>
                    <a:latin typeface="方正楷体_GBK" panose="03000509000000000000" pitchFamily="4" charset="-122"/>
                    <a:ea typeface="方正楷体_GBK" panose="03000509000000000000" pitchFamily="4" charset="-122"/>
                  </a:rPr>
                  <a:t>/</a:t>
                </a:r>
                <a:r>
                  <a:rPr lang="zh-CN" altLang="en-US">
                    <a:solidFill>
                      <a:sysClr val="windowText" lastClr="000000"/>
                    </a:solidFill>
                    <a:latin typeface="方正楷体_GBK" panose="03000509000000000000" pitchFamily="4" charset="-122"/>
                    <a:ea typeface="方正楷体_GBK" panose="03000509000000000000" pitchFamily="4" charset="-122"/>
                  </a:rPr>
                  <a:t>年）</a:t>
                </a:r>
                <a:endParaRPr lang="zh-CN" altLang="en-US">
                  <a:solidFill>
                    <a:sysClr val="windowText" lastClr="000000"/>
                  </a:solidFill>
                  <a:latin typeface="方正楷体_GBK" panose="03000509000000000000" pitchFamily="4" charset="-122"/>
                  <a:ea typeface="方正楷体_GBK" panose="03000509000000000000" pitchFamily="4" charset="-122"/>
                </a:endParaRPr>
              </a:p>
            </c:rich>
          </c:tx>
          <c:layout>
            <c:manualLayout>
              <c:xMode val="edge"/>
              <c:yMode val="edge"/>
              <c:x val="0.434320320154883"/>
              <c:y val="0.943222242091954"/>
            </c:manualLayout>
          </c:layout>
          <c:overlay val="0"/>
          <c:spPr>
            <a:noFill/>
            <a:ln>
              <a:noFill/>
            </a:ln>
            <a:effectLst/>
          </c:spPr>
        </c:title>
        <c:numFmt formatCode="0.00_);[Red]\(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mn-ea"/>
                <a:cs typeface="Times New Roman" panose="02020603050405020304" charset="0"/>
              </a:defRPr>
            </a:pPr>
          </a:p>
        </c:txPr>
        <c:crossAx val="5157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'污染物总量（规模）'!$H$22</c:f>
              <c:strCache>
                <c:ptCount val="1"/>
                <c:pt idx="0">
                  <c:v>规模化畜禽养殖场</c:v>
                </c:pt>
              </c:strCache>
            </c:strRef>
          </c:tx>
          <c:spPr>
            <a:solidFill>
              <a:schemeClr val="accent6">
                <a:lumMod val="50000"/>
              </a:schemeClr>
            </a:solidFill>
            <a:ln>
              <a:noFill/>
            </a:ln>
            <a:effectLst/>
          </c:spPr>
          <c:invertIfNegative val="0"/>
          <c:dLbls>
            <c:delete val="1"/>
          </c:dLbls>
          <c:cat>
            <c:strRef>
              <c:f>'污染物总量（规模）'!$I$21:$M$21</c:f>
              <c:strCache>
                <c:ptCount val="5"/>
                <c:pt idx="0">
                  <c:v>COD</c:v>
                </c:pt>
                <c:pt idx="1">
                  <c:v>BOD</c:v>
                </c:pt>
                <c:pt idx="2">
                  <c:v>NH3-N</c:v>
                </c:pt>
                <c:pt idx="3">
                  <c:v>TP</c:v>
                </c:pt>
                <c:pt idx="4">
                  <c:v>TN</c:v>
                </c:pt>
              </c:strCache>
            </c:strRef>
          </c:cat>
          <c:val>
            <c:numRef>
              <c:f>'污染物总量（规模）'!$I$22:$M$22</c:f>
              <c:numCache>
                <c:formatCode>0.00_);[Red]\(0.00\)</c:formatCode>
                <c:ptCount val="5"/>
                <c:pt idx="0">
                  <c:v>3693.899964</c:v>
                </c:pt>
                <c:pt idx="1">
                  <c:v>3432.18307024</c:v>
                </c:pt>
                <c:pt idx="2">
                  <c:v>320.3937956</c:v>
                </c:pt>
                <c:pt idx="3">
                  <c:v>219.19844872</c:v>
                </c:pt>
                <c:pt idx="4">
                  <c:v>701.82989664</c:v>
                </c:pt>
              </c:numCache>
            </c:numRef>
          </c:val>
        </c:ser>
        <c:ser>
          <c:idx val="1"/>
          <c:order val="1"/>
          <c:tx>
            <c:strRef>
              <c:f>'污染物总量（规模）'!$H$23</c:f>
              <c:strCache>
                <c:ptCount val="1"/>
                <c:pt idx="0">
                  <c:v>集约化畜禽养殖场</c:v>
                </c:pt>
              </c:strCache>
            </c:strRef>
          </c:tx>
          <c:spPr>
            <a:solidFill>
              <a:srgbClr val="ED7D31"/>
            </a:solidFill>
            <a:ln w="25400">
              <a:noFill/>
            </a:ln>
          </c:spPr>
          <c:invertIfNegative val="0"/>
          <c:dLbls>
            <c:delete val="1"/>
          </c:dLbls>
          <c:cat>
            <c:strRef>
              <c:f>'污染物总量（规模）'!$I$21:$M$21</c:f>
              <c:strCache>
                <c:ptCount val="5"/>
                <c:pt idx="0">
                  <c:v>COD</c:v>
                </c:pt>
                <c:pt idx="1">
                  <c:v>BOD</c:v>
                </c:pt>
                <c:pt idx="2">
                  <c:v>NH3-N</c:v>
                </c:pt>
                <c:pt idx="3">
                  <c:v>TP</c:v>
                </c:pt>
                <c:pt idx="4">
                  <c:v>TN</c:v>
                </c:pt>
              </c:strCache>
            </c:strRef>
          </c:cat>
          <c:val>
            <c:numRef>
              <c:f>'污染物总量（规模）'!$I$23:$M$23</c:f>
              <c:numCache>
                <c:formatCode>0.00_);[Red]\(0.00\)</c:formatCode>
                <c:ptCount val="5"/>
                <c:pt idx="0">
                  <c:v>2727.8160869</c:v>
                </c:pt>
                <c:pt idx="1">
                  <c:v>2651.84815115</c:v>
                </c:pt>
                <c:pt idx="2">
                  <c:v>254.2765488</c:v>
                </c:pt>
                <c:pt idx="3">
                  <c:v>222.28012125</c:v>
                </c:pt>
                <c:pt idx="4">
                  <c:v>551.27601705</c:v>
                </c:pt>
              </c:numCache>
            </c:numRef>
          </c:val>
        </c:ser>
        <c:ser>
          <c:idx val="2"/>
          <c:order val="2"/>
          <c:tx>
            <c:strRef>
              <c:f>'污染物总量（规模）'!$H$24</c:f>
              <c:strCache>
                <c:ptCount val="1"/>
                <c:pt idx="0">
                  <c:v>养殖专业户</c:v>
                </c:pt>
              </c:strCache>
            </c:strRef>
          </c:tx>
          <c:spPr>
            <a:ln w="28575" cap="rnd" cmpd="sng" algn="ctr">
              <a:solidFill>
                <a:schemeClr val="accent3"/>
              </a:solidFill>
              <a:prstDash val="solid"/>
              <a:round/>
            </a:ln>
            <a:effectLst/>
          </c:spPr>
          <c:invertIfNegative val="0"/>
          <c:dLbls>
            <c:delete val="1"/>
          </c:dLbls>
          <c:cat>
            <c:strRef>
              <c:f>'污染物总量（规模）'!$I$21:$M$21</c:f>
              <c:strCache>
                <c:ptCount val="5"/>
                <c:pt idx="0">
                  <c:v>COD</c:v>
                </c:pt>
                <c:pt idx="1">
                  <c:v>BOD</c:v>
                </c:pt>
                <c:pt idx="2">
                  <c:v>NH3-N</c:v>
                </c:pt>
                <c:pt idx="3">
                  <c:v>TP</c:v>
                </c:pt>
                <c:pt idx="4">
                  <c:v>TN</c:v>
                </c:pt>
              </c:strCache>
            </c:strRef>
          </c:cat>
          <c:val>
            <c:numRef>
              <c:f>'污染物总量（规模）'!$I$24:$M$24</c:f>
              <c:numCache>
                <c:formatCode>0.00_);[Red]\(0.00\)</c:formatCode>
                <c:ptCount val="5"/>
                <c:pt idx="0">
                  <c:v>1058.92677914445</c:v>
                </c:pt>
                <c:pt idx="1">
                  <c:v>999.543024062665</c:v>
                </c:pt>
                <c:pt idx="2">
                  <c:v>95.7120540711112</c:v>
                </c:pt>
                <c:pt idx="3">
                  <c:v>80.5880642902224</c:v>
                </c:pt>
                <c:pt idx="4">
                  <c:v>227.814614449333</c:v>
                </c:pt>
              </c:numCache>
            </c:numRef>
          </c:val>
        </c:ser>
        <c:ser>
          <c:idx val="3"/>
          <c:order val="3"/>
          <c:tx>
            <c:strRef>
              <c:f>'污染物总量（规模）'!$H$25</c:f>
              <c:strCache>
                <c:ptCount val="1"/>
                <c:pt idx="0">
                  <c:v>其他养殖户</c:v>
                </c:pt>
              </c:strCache>
            </c:strRef>
          </c:tx>
          <c:spPr>
            <a:ln w="28575" cap="rnd" cmpd="sng" algn="ctr">
              <a:solidFill>
                <a:srgbClr val="00B0F0"/>
              </a:solidFill>
              <a:prstDash val="solid"/>
              <a:round/>
            </a:ln>
            <a:effectLst/>
          </c:spPr>
          <c:invertIfNegative val="0"/>
          <c:dLbls>
            <c:delete val="1"/>
          </c:dLbls>
          <c:cat>
            <c:strRef>
              <c:f>'污染物总量（规模）'!$I$21:$M$21</c:f>
              <c:strCache>
                <c:ptCount val="5"/>
                <c:pt idx="0">
                  <c:v>COD</c:v>
                </c:pt>
                <c:pt idx="1">
                  <c:v>BOD</c:v>
                </c:pt>
                <c:pt idx="2">
                  <c:v>NH3-N</c:v>
                </c:pt>
                <c:pt idx="3">
                  <c:v>TP</c:v>
                </c:pt>
                <c:pt idx="4">
                  <c:v>TN</c:v>
                </c:pt>
              </c:strCache>
            </c:strRef>
          </c:cat>
          <c:val>
            <c:numRef>
              <c:f>'污染物总量（规模）'!$I$25:$M$25</c:f>
              <c:numCache>
                <c:formatCode>0.00_);[Red]\(0.00\)</c:formatCode>
                <c:ptCount val="5"/>
                <c:pt idx="0">
                  <c:v>3.88260293333333</c:v>
                </c:pt>
                <c:pt idx="1">
                  <c:v>3.9064396</c:v>
                </c:pt>
                <c:pt idx="2">
                  <c:v>0.455472773333333</c:v>
                </c:pt>
                <c:pt idx="3">
                  <c:v>0.827499026666667</c:v>
                </c:pt>
                <c:pt idx="4">
                  <c:v>2.11523872</c:v>
                </c:pt>
              </c:numCache>
            </c:numRef>
          </c:val>
        </c:ser>
        <c:dLbls>
          <c:showLegendKey val="0"/>
          <c:showVal val="0"/>
          <c:showCatName val="0"/>
          <c:showSerName val="0"/>
          <c:showPercent val="0"/>
          <c:showBubbleSize val="0"/>
        </c:dLbls>
        <c:gapWidth val="150"/>
        <c:axId val="979355152"/>
        <c:axId val="1"/>
      </c:barChart>
      <c:catAx>
        <c:axId val="97935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0" vertOverflow="ellipsis" vert="horz" wrap="square" anchor="ctr" anchorCtr="1"/>
          <a:lstStyle/>
          <a:p>
            <a:pPr>
              <a:defRPr lang="zh-CN" sz="900" b="0" i="0" u="none" strike="noStrike" kern="1200" baseline="0">
                <a:solidFill>
                  <a:sysClr val="windowText" lastClr="000000"/>
                </a:solidFill>
                <a:latin typeface="Times New Roman" panose="02020603050405020304" charset="0"/>
                <a:ea typeface="等线" panose="02010600030101010101" charset="-122"/>
                <a:cs typeface="Times New Roman" panose="02020603050405020304" charset="0"/>
              </a:defRPr>
            </a:pP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zh-CN" sz="1100" b="0" i="0" u="none" strike="noStrike" kern="1200" baseline="0">
                    <a:solidFill>
                      <a:srgbClr val="000000"/>
                    </a:solidFill>
                    <a:latin typeface="Calibri" panose="020F0502020204030204"/>
                    <a:ea typeface="Calibri" panose="020F0502020204030204"/>
                    <a:cs typeface="Calibri" panose="020F0502020204030204"/>
                  </a:defRPr>
                </a:pPr>
                <a:r>
                  <a:rPr lang="zh-CN" altLang="en-US" sz="1000" b="0" i="0" u="none" strike="noStrike" baseline="0">
                    <a:solidFill>
                      <a:srgbClr val="000000"/>
                    </a:solidFill>
                    <a:latin typeface="方正楷体_GBK" panose="03000509000000000000" pitchFamily="4" charset="-122"/>
                    <a:ea typeface="方正楷体_GBK" panose="03000509000000000000" pitchFamily="4" charset="-122"/>
                  </a:rPr>
                  <a:t>产生量/吨</a:t>
                </a:r>
                <a:endParaRPr lang="zh-CN" altLang="en-US" sz="1000" b="0" i="0" u="none" strike="noStrike" baseline="0">
                  <a:solidFill>
                    <a:srgbClr val="000000"/>
                  </a:solidFill>
                  <a:latin typeface="方正楷体_GBK" panose="03000509000000000000" pitchFamily="4" charset="-122"/>
                  <a:ea typeface="方正楷体_GBK" panose="03000509000000000000" pitchFamily="4" charset="-122"/>
                </a:endParaRPr>
              </a:p>
            </c:rich>
          </c:tx>
          <c:layout/>
          <c:overlay val="0"/>
        </c:title>
        <c:numFmt formatCode="0.00_);[Red]\(0.00\)" sourceLinked="1"/>
        <c:majorTickMark val="none"/>
        <c:minorTickMark val="none"/>
        <c:tickLblPos val="nextTo"/>
        <c:spPr>
          <a:ln w="3175" cap="flat" cmpd="sng" algn="ctr">
            <a:noFill/>
            <a:prstDash val="solid"/>
            <a:round/>
          </a:ln>
        </c:spPr>
        <c:txPr>
          <a:bodyPr rot="0" spcFirstLastPara="0" vertOverflow="ellipsis" vert="horz" wrap="square" anchor="ctr" anchorCtr="1"/>
          <a:lstStyle/>
          <a:p>
            <a:pPr>
              <a:defRPr lang="zh-CN" sz="900" b="0" i="0" u="none" strike="noStrike" kern="1200" baseline="0">
                <a:solidFill>
                  <a:srgbClr val="000000"/>
                </a:solidFill>
                <a:latin typeface="Times New Roman" panose="02020603050405020304" charset="0"/>
                <a:ea typeface="等线" panose="02010600030101010101" charset="-122"/>
                <a:cs typeface="Times New Roman" panose="02020603050405020304" charset="0"/>
              </a:defRPr>
            </a:pPr>
          </a:p>
        </c:txPr>
        <c:crossAx val="979355152"/>
        <c:crosses val="autoZero"/>
        <c:crossBetween val="between"/>
      </c:valAx>
      <c:spPr>
        <a:noFill/>
        <a:ln w="25400">
          <a:noFill/>
        </a:ln>
      </c:spPr>
    </c:plotArea>
    <c:legend>
      <c:legendPos val="b"/>
      <c:layout/>
      <c:overlay val="0"/>
      <c:spPr>
        <a:noFill/>
        <a:ln w="3175">
          <a:noFill/>
        </a:ln>
      </c:spPr>
      <c:txPr>
        <a:bodyPr rot="0" spcFirstLastPara="0" vertOverflow="ellipsis" vert="horz" wrap="square" anchor="ctr" anchorCtr="1"/>
        <a:lstStyle/>
        <a:p>
          <a:pPr>
            <a:defRPr lang="zh-CN" sz="920" b="0" i="0" u="none" strike="noStrike" kern="1200" baseline="0">
              <a:solidFill>
                <a:srgbClr val="000000"/>
              </a:solidFill>
              <a:latin typeface="方正楷体_GBK" panose="03000509000000000000" pitchFamily="4" charset="-122"/>
              <a:ea typeface="方正楷体_GBK" panose="03000509000000000000" pitchFamily="4" charset="-122"/>
              <a:cs typeface="方正楷体_GBK" panose="03000509000000000000" pitchFamily="4" charset="-122"/>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等线" panose="02010600030101010101" charset="-122"/>
          <a:ea typeface="等线" panose="02010600030101010101" charset="-122"/>
          <a:cs typeface="等线" panose="0201060003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7C78EA-0FB8-4A18-9FDE-53626012D81C}">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11354</Words>
  <Characters>64718</Characters>
  <Lines>539</Lines>
  <Paragraphs>151</Paragraphs>
  <TotalTime>4</TotalTime>
  <ScaleCrop>false</ScaleCrop>
  <LinksUpToDate>false</LinksUpToDate>
  <CharactersWithSpaces>75921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2021-08-09T01:36:00Z</dcterms:created>
  <dc:creator>1074680181@qq.com</dc:creator>
  <cp:lastModifiedBy>天蓝蓝</cp:lastModifiedBy>
  <cp:lastPrinted>2021-07-14T01:43:00Z</cp:lastPrinted>
  <dcterms:modified xsi:type="dcterms:W3CDTF">2021-08-17T02:47:02Z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372A812CE25F427FB17A704E30DC9FE9</vt:lpwstr>
  </property>
  <property fmtid="{D5CDD505-2E9C-101B-9397-08002B2CF9AE}" pid="4" name="KSOSaveFontToCloudKey">
    <vt:lpwstr>0_btnclosed</vt:lpwstr>
  </property>
</Properties>
</file>