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E/>
        <w:autoSpaceDN/>
        <w:bidi w:val="0"/>
        <w:adjustRightInd/>
        <w:snapToGrid/>
        <w:spacing w:line="560" w:lineRule="exact"/>
        <w:ind w:left="0" w:firstLineChars="0" w:firstLine="0"/>
        <w:jc w:val="right"/>
        <w:textAlignment w:val="auto"/>
        <w:rPr>
          <w:rFonts w:ascii="宋体" w:eastAsia="方正仿宋_GBK" w:hAnsi="宋体" w:hint="eastAsia"/>
          <w:lang w:eastAsia="zh-CN"/>
        </w:rPr>
      </w:pPr>
      <w:r>
        <w:rPr>
          <w:rFonts w:ascii="宋体" w:hAnsi="宋体"/>
        </w:rPr>
        <mc:AlternateContent>
          <mc:Choice Requires="wps">
            <w:drawing>
              <wp:anchor distT="0" distB="0" distL="114298" distR="114298" simplePos="0" relativeHeight="16" behindDoc="0" locked="0" layoutInCell="1" hidden="0" allowOverlap="1">
                <wp:simplePos x="0" y="0"/>
                <wp:positionH relativeFrom="page">
                  <wp:posOffset>786765</wp:posOffset>
                </wp:positionH>
                <wp:positionV relativeFrom="page">
                  <wp:posOffset>1826895</wp:posOffset>
                </wp:positionV>
                <wp:extent cx="6079490" cy="952"/>
                <wp:effectExtent l="0" t="0" r="0" b="0"/>
                <wp:wrapNone/>
                <wp:docPr id="1" name="直线 1"/>
                <wp:cNvGraphicFramePr>
                  <a:graphicFrameLocks noChangeAspect="0"/>
                </wp:cNvGraphicFramePr>
                <a:graphic>
                  <a:graphicData uri="http://schemas.microsoft.com/office/word/2010/wordprocessingShape">
                    <wps:wsp>
                      <wps:cNvSpPr/>
                      <wps:spPr>
                        <a:xfrm rot="0">
                          <a:off x="0" y="0"/>
                          <a:ext cx="6079490" cy="952"/>
                        </a:xfrm>
                        <a:prstGeom prst="line"/>
                        <a:noFill/>
                        <a:ln w="76200" cmpd="thickThin"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线 2" o:spid="_x0000_s2" from="61.95pt,143.85pt" to="540.65pt,143.925pt" filled="f" stroked="t" strokeweight="6.0pt" style="position:absolute;z-index:16;mso-position-horizontal:absolute;mso-position-horizontal-relative:page;mso-position-vertical:absolute;mso-position-vertical-relative:page;mso-wrap-distance-left:8.999863pt;mso-wrap-distance-right:8.999863pt;">
                <v:stroke linestyle="thickThin" color="#FF0000"/>
              </v:line>
            </w:pict>
          </mc:Fallback>
        </mc:AlternateContent>
      </w:r>
      <w:r>
        <w:rPr>
          <w:rFonts w:ascii="宋体" w:hAnsi="宋体"/>
        </w:rPr>
        <w:pict>
          <v:shape type="#_x0000_t136" id="艺术字 3" o:spid="_x0000_s3" fillcolor="#FF0000" stroked="f" strokecolor="#000000" adj="10800" style="position:absolute;margin-left:88.05pt;margin-top:78.75pt;width:425.15pt;height:53.850006pt;z-index:17;mso-position-horizontal:absolute;mso-position-horizontal-relative:page;mso-position-vertical:absolute;mso-position-vertical-relative:page;mso-wrap-distance-left:8.999863pt;mso-wrap-distance-right:8.999863pt;">
            <v:stroke color="#000000"/>
            <o:lock aspectratio="t"/>
            <v:textpath style="font-family:&quot;方正小标宋_GBK&quot;;font-weight:bold;" trim="t" fitpath="t" string="重庆市江津区农业农村委员会"/>
          </v:shape>
        </w:pict>
      </w:r>
      <w:r>
        <w:rPr>
          <w:rFonts w:ascii="方正仿宋_GBK" w:eastAsia="方正仿宋_GBK" w:cs="方正仿宋_GBK" w:hint="eastAsia"/>
          <w:lang w:eastAsia="zh-CN"/>
        </w:rPr>
        <w:t>津农业农村委函〔</w:t>
      </w:r>
      <w:r>
        <w:rPr>
          <w:rFonts w:ascii="方正仿宋_GBK" w:eastAsia="方正仿宋_GBK" w:cs="方正仿宋_GBK" w:hint="eastAsia"/>
          <w:lang w:val="en-US" w:eastAsia="zh-CN"/>
        </w:rPr>
        <w:t>2025</w:t>
      </w:r>
      <w:r>
        <w:rPr>
          <w:rFonts w:ascii="方正仿宋_GBK" w:eastAsia="方正仿宋_GBK" w:cs="方正仿宋_GBK" w:hint="eastAsia"/>
          <w:lang w:eastAsia="zh-CN"/>
        </w:rPr>
        <w:t>〕</w:t>
      </w:r>
      <w:r>
        <w:rPr>
          <w:rFonts w:ascii="方正仿宋_GBK" w:cs="方正仿宋_GBK" w:hint="eastAsia"/>
          <w:lang w:val="en-US" w:eastAsia="zh-CN"/>
        </w:rPr>
        <w:t>145</w:t>
      </w:r>
      <w:r>
        <w:rPr>
          <w:rFonts w:ascii="方正仿宋_GBK" w:eastAsia="方正仿宋_GBK" w:cs="方正仿宋_GBK" w:hint="eastAsia"/>
          <w:lang w:eastAsia="zh-CN"/>
        </w:rPr>
        <w:t>号</w:t>
      </w:r>
    </w:p>
    <w:p>
      <w:pPr>
        <w:rPr>
          <w:rFonts w:ascii="宋体" w:hAnsi="宋体"/>
        </w:rPr>
      </w:pPr>
    </w:p>
    <w:p>
      <w:pPr>
        <w:rPr>
          <w:rFonts w:ascii="宋体" w:hAnsi="宋体" w:hint="eastAsia"/>
        </w:rPr>
      </w:pPr>
    </w:p>
    <w:p>
      <w:pPr>
        <w:spacing w:line="560" w:lineRule="exact"/>
        <w:ind w:firstLineChars="0" w:firstLine="0"/>
        <w:jc w:val="center"/>
        <w:rPr>
          <w:rFonts w:ascii="宋体" w:eastAsia="方正小标宋_GBK" w:hAnsi="宋体" w:hint="eastAsia"/>
          <w:w w:val="101"/>
          <w:sz w:val="44"/>
          <w:szCs w:val="44"/>
        </w:rPr>
      </w:pPr>
      <w:r>
        <w:rPr>
          <w:rFonts w:ascii="宋体" w:eastAsia="方正小标宋_GBK" w:hAnsi="宋体" w:hint="eastAsia"/>
          <w:w w:val="101"/>
          <w:sz w:val="44"/>
          <w:szCs w:val="44"/>
        </w:rPr>
        <w:t>重庆市江津区农业农村委员会</w:t>
      </w:r>
    </w:p>
    <w:p>
      <w:pPr>
        <w:spacing w:line="560" w:lineRule="exact"/>
        <w:ind w:firstLineChars="0" w:firstLine="0"/>
        <w:jc w:val="center"/>
        <w:rPr>
          <w:rFonts w:ascii="宋体" w:eastAsia="方正小标宋_GBK" w:hAnsi="宋体" w:hint="eastAsia"/>
          <w:sz w:val="44"/>
          <w:szCs w:val="44"/>
          <w:lang w:eastAsia="zh-CN"/>
        </w:rPr>
      </w:pPr>
      <w:r>
        <w:rPr>
          <w:rFonts w:ascii="宋体" w:eastAsia="方正小标宋_GBK" w:hAnsi="宋体" w:hint="eastAsia"/>
          <w:sz w:val="44"/>
          <w:szCs w:val="44"/>
        </w:rPr>
        <w:t>关于</w:t>
      </w:r>
      <w:r>
        <w:rPr>
          <w:rFonts w:ascii="宋体" w:eastAsia="方正小标宋_GBK" w:hAnsi="宋体" w:hint="eastAsia"/>
          <w:sz w:val="44"/>
          <w:szCs w:val="44"/>
          <w:lang w:eastAsia="zh-CN"/>
        </w:rPr>
        <w:t>印发《</w:t>
      </w:r>
      <w:r>
        <w:rPr>
          <w:rFonts w:ascii="宋体" w:eastAsia="方正小标宋_GBK" w:hAnsi="宋体" w:hint="eastAsia"/>
          <w:color w:val="000000"/>
          <w:sz w:val="44"/>
          <w:szCs w:val="44"/>
        </w:rPr>
        <w:t>江津区</w:t>
      </w:r>
      <w:r>
        <w:rPr>
          <w:rFonts w:ascii="宋体" w:hAnsi="宋体" w:hint="eastAsia"/>
          <w:color w:val="000000"/>
          <w:sz w:val="44"/>
          <w:szCs w:val="44"/>
        </w:rPr>
        <w:t>202</w:t>
      </w:r>
      <w:r>
        <w:rPr>
          <w:rFonts w:ascii="宋体" w:hAnsi="宋体" w:hint="eastAsia"/>
          <w:color w:val="000000"/>
          <w:sz w:val="44"/>
          <w:szCs w:val="44"/>
          <w:lang w:val="en-US" w:eastAsia="zh-CN"/>
        </w:rPr>
        <w:t>5</w:t>
      </w:r>
      <w:r>
        <w:rPr>
          <w:rFonts w:ascii="宋体" w:eastAsia="方正小标宋_GBK" w:hAnsi="宋体" w:hint="eastAsia"/>
          <w:color w:val="000000"/>
          <w:sz w:val="44"/>
          <w:szCs w:val="44"/>
        </w:rPr>
        <w:t>年高素质</w:t>
      </w:r>
      <w:r>
        <w:rPr>
          <w:rFonts w:ascii="宋体" w:eastAsia="方正小标宋_GBK" w:hAnsi="宋体" w:hint="eastAsia"/>
          <w:sz w:val="44"/>
          <w:szCs w:val="44"/>
        </w:rPr>
        <w:t>农民</w:t>
      </w:r>
      <w:r>
        <w:rPr>
          <w:rFonts w:ascii="宋体" w:eastAsia="方正小标宋_GBK" w:hAnsi="宋体" w:hint="eastAsia"/>
          <w:sz w:val="44"/>
          <w:szCs w:val="44"/>
          <w:lang w:eastAsia="zh-CN"/>
        </w:rPr>
        <w:t>培育</w:t>
      </w:r>
    </w:p>
    <w:p>
      <w:pPr>
        <w:spacing w:line="560" w:lineRule="exact"/>
        <w:ind w:firstLineChars="0" w:firstLine="0"/>
        <w:jc w:val="center"/>
        <w:rPr>
          <w:rFonts w:ascii="宋体" w:eastAsia="方正小标宋_GBK" w:hAnsi="宋体" w:hint="eastAsia"/>
          <w:sz w:val="44"/>
          <w:szCs w:val="44"/>
        </w:rPr>
      </w:pPr>
      <w:r>
        <w:rPr>
          <w:rFonts w:ascii="宋体" w:eastAsia="方正小标宋_GBK" w:hAnsi="宋体" w:hint="eastAsia"/>
          <w:sz w:val="44"/>
          <w:szCs w:val="44"/>
          <w:lang w:val="en-US" w:eastAsia="zh-CN"/>
        </w:rPr>
        <w:t>实施</w:t>
      </w:r>
      <w:r>
        <w:rPr>
          <w:rFonts w:ascii="宋体" w:eastAsia="方正小标宋_GBK" w:hAnsi="宋体" w:hint="eastAsia"/>
          <w:sz w:val="44"/>
          <w:szCs w:val="44"/>
          <w:lang w:eastAsia="zh-CN"/>
        </w:rPr>
        <w:t>方案》</w:t>
      </w:r>
      <w:r>
        <w:rPr>
          <w:rFonts w:ascii="宋体" w:eastAsia="方正小标宋_GBK" w:hAnsi="宋体" w:hint="eastAsia"/>
          <w:color w:val="000000"/>
          <w:sz w:val="44"/>
          <w:szCs w:val="44"/>
        </w:rPr>
        <w:t>的通知</w:t>
      </w:r>
    </w:p>
    <w:p>
      <w:pPr>
        <w:spacing w:line="560" w:lineRule="exact"/>
        <w:rPr>
          <w:rFonts w:ascii="宋体" w:hAnsi="宋体" w:hint="eastAsia"/>
        </w:rPr>
      </w:pPr>
    </w:p>
    <w:p>
      <w:pPr>
        <w:spacing w:line="560" w:lineRule="exact"/>
        <w:ind w:left="0" w:firstLineChars="0" w:firstLine="0"/>
        <w:rPr>
          <w:rFonts w:ascii="宋体" w:hAnsi="宋体" w:hint="eastAsia"/>
        </w:rPr>
      </w:pPr>
      <w:r>
        <w:rPr>
          <w:rFonts w:ascii="宋体" w:hAnsi="宋体" w:hint="eastAsia"/>
        </w:rPr>
        <w:t>各镇人民政府、街道办事处，各相关</w:t>
      </w:r>
      <w:r>
        <w:rPr>
          <w:rFonts w:ascii="宋体" w:hAnsi="宋体" w:hint="eastAsia"/>
          <w:lang w:eastAsia="zh-CN"/>
        </w:rPr>
        <w:t>科研院所、</w:t>
      </w:r>
      <w:r>
        <w:rPr>
          <w:rFonts w:ascii="宋体" w:hAnsi="宋体" w:hint="eastAsia"/>
        </w:rPr>
        <w:t>培训</w:t>
      </w:r>
      <w:r>
        <w:rPr>
          <w:rFonts w:ascii="宋体" w:hAnsi="宋体" w:hint="eastAsia"/>
          <w:lang w:eastAsia="zh-CN"/>
        </w:rPr>
        <w:t>学校</w:t>
      </w:r>
      <w:r>
        <w:rPr>
          <w:rFonts w:ascii="宋体" w:hAnsi="宋体" w:hint="eastAsia"/>
        </w:rPr>
        <w:t>：</w:t>
      </w:r>
    </w:p>
    <w:p>
      <w:pPr>
        <w:spacing w:line="560" w:lineRule="exact"/>
        <w:rPr>
          <w:rFonts w:ascii="宋体" w:eastAsia="方正仿宋_GBK" w:hAnsi="宋体" w:hint="eastAsia"/>
          <w:lang w:val="en-US" w:eastAsia="zh-CN"/>
        </w:rPr>
      </w:pPr>
      <w:r>
        <w:rPr>
          <w:rFonts w:ascii="宋体" w:hAnsi="宋体" w:hint="eastAsia"/>
        </w:rPr>
        <w:t>为贯彻落实2025年中央一号文件和2024年中央农村工作会议精神，加强乡村人才队伍建设，按照《重庆市农业农村委员会 重庆市财政局 重庆市人力资源</w:t>
      </w:r>
      <w:r>
        <w:rPr>
          <w:rFonts w:ascii="宋体" w:hAnsi="宋体"/>
        </w:rPr>
        <w:t>和</w:t>
      </w:r>
      <w:r>
        <w:rPr>
          <w:rFonts w:ascii="宋体" w:hAnsi="宋体" w:hint="eastAsia"/>
        </w:rPr>
        <w:t>社会保障局关于印发〈重庆市高素质农民培育2025年度实施方案〉的通知》（渝农发〔2025〕73号）要求，结合我区实际制定了《江津区2025年高素质农民培育实施方案》，现印发给你们，请认真贯彻执行。</w:t>
      </w:r>
    </w:p>
    <w:p>
      <w:pPr>
        <w:spacing w:line="560" w:lineRule="exact"/>
        <w:ind w:firstLineChars="0" w:firstLine="0"/>
        <w:rPr>
          <w:rFonts w:ascii="宋体" w:eastAsia="方正仿宋_GBK" w:hAnsi="宋体" w:hint="eastAsia"/>
          <w:lang w:val="en-US" w:eastAsia="zh-CN"/>
        </w:rPr>
      </w:pPr>
    </w:p>
    <w:p>
      <w:pPr>
        <w:spacing w:line="560" w:lineRule="exact"/>
        <w:ind w:firstLineChars="0" w:firstLine="0"/>
        <w:jc w:val="right"/>
        <w:rPr>
          <w:rFonts w:ascii="宋体" w:hAnsi="宋体"/>
        </w:rPr>
      </w:pPr>
      <w:r>
        <w:rPr>
          <w:rFonts w:ascii="宋体" w:hAnsi="宋体" w:hint="eastAsia"/>
          <w:lang w:val="en-US" w:eastAsia="zh-CN"/>
        </w:rPr>
        <w:t xml:space="preserve">                     </w:t>
      </w:r>
      <w:r>
        <w:rPr>
          <w:rFonts w:ascii="宋体" w:hAnsi="宋体" w:hint="eastAsia"/>
        </w:rPr>
        <w:t>重庆市江津区农业农村委</w:t>
      </w:r>
      <w:r>
        <w:rPr>
          <w:rFonts w:ascii="宋体" w:hAnsi="宋体"/>
        </w:rPr>
        <w:t>员会</w:t>
      </w:r>
    </w:p>
    <w:p>
      <w:pPr>
        <w:wordWrap w:val="0"/>
        <w:spacing w:line="560" w:lineRule="exact"/>
        <w:ind w:firstLineChars="0" w:firstLine="0"/>
        <w:jc w:val="right"/>
        <w:rPr>
          <w:rFonts w:ascii="宋体" w:hAnsi="宋体" w:hint="eastAsia"/>
          <w:lang w:val="en-US" w:eastAsia="zh-CN"/>
        </w:rPr>
      </w:pPr>
      <w:r>
        <w:rPr>
          <w:rFonts w:ascii="宋体" w:hAnsi="宋体" w:hint="eastAsia"/>
          <w:lang w:val="en-US" w:eastAsia="zh-CN"/>
        </w:rPr>
        <w:t xml:space="preserve">                          2025年7月22日</w:t>
      </w:r>
      <w:r>
        <w:rPr>
          <w:rFonts w:ascii="宋体" w:hAnsi="宋体"/>
          <w:lang w:val="en-US" w:eastAsia="zh-CN"/>
        </w:rPr>
        <w:t xml:space="preserve">  </w:t>
      </w:r>
      <w:r>
        <w:rPr>
          <w:rFonts w:ascii="宋体" w:hAnsi="宋体" w:hint="eastAsia"/>
          <w:lang w:val="en-US" w:eastAsia="zh-CN"/>
        </w:rPr>
        <w:t xml:space="preserve"> </w:t>
      </w:r>
    </w:p>
    <w:p>
      <w:pPr>
        <w:wordWrap w:val="0"/>
        <w:spacing w:line="560" w:lineRule="exact"/>
        <w:ind w:firstLineChars="0" w:firstLine="0"/>
        <w:jc w:val="center"/>
        <w:rPr>
          <w:rFonts w:hint="eastAsia"/>
          <w:lang w:val="en-US" w:eastAsia="zh-CN"/>
        </w:rPr>
      </w:pPr>
      <w:r>
        <w:rPr>
          <w:rFonts w:ascii="宋体" w:hAnsi="宋体"/>
        </w:rPr>
        <mc:AlternateContent>
          <mc:Choice Requires="wps">
            <w:drawing>
              <wp:anchor distT="0" distB="0" distL="114298" distR="114298" simplePos="0" relativeHeight="18" behindDoc="0" locked="0" layoutInCell="1" hidden="0" allowOverlap="1">
                <wp:simplePos x="0" y="0"/>
                <wp:positionH relativeFrom="page">
                  <wp:posOffset>805180</wp:posOffset>
                </wp:positionH>
                <wp:positionV relativeFrom="page">
                  <wp:posOffset>9962515</wp:posOffset>
                </wp:positionV>
                <wp:extent cx="6120130" cy="951"/>
                <wp:effectExtent l="0" t="0" r="0" b="0"/>
                <wp:wrapNone/>
                <wp:docPr id="4" name="直线 4"/>
                <wp:cNvGraphicFramePr>
                  <a:graphicFrameLocks noChangeAspect="0"/>
                </wp:cNvGraphicFramePr>
                <a:graphic>
                  <a:graphicData uri="http://schemas.microsoft.com/office/word/2010/wordprocessingShape">
                    <wps:wsp>
                      <wps:cNvSpPr/>
                      <wps:spPr>
                        <a:xfrm rot="0">
                          <a:off x="0" y="0"/>
                          <a:ext cx="6120130" cy="951"/>
                        </a:xfrm>
                        <a:prstGeom prst="line"/>
                        <a:noFill/>
                        <a:ln w="76200" cmpd="thinThick" cap="flat">
                          <a:solidFill>
                            <a:srgbClr val="FF0000"/>
                          </a:solidFill>
                          <a:prstDash val="solid"/>
                          <a:round/>
                        </a:ln>
                      </wps:spPr>
                      <wps:bodyPr vert="horz" wrap="square" lIns="91440" tIns="45720" rIns="91440" bIns="45720" anchor="t" anchorCtr="0" upright="1">
                        <a:noAutofit/>
                      </wps:bodyPr>
                    </wps:wsp>
                  </a:graphicData>
                </a:graphic>
              </wp:anchor>
            </w:drawing>
          </mc:Choice>
          <mc:Fallback>
            <w:pict>
              <v:line type="#_x0000_t20" id="直线 5" o:spid="_x0000_s5" from="63.4pt,784.44995pt" to="545.3pt,784.52484pt" filled="f" stroked="t" strokeweight="6.0pt" style="position:absolute;z-index:18;mso-position-horizontal:absolute;mso-position-horizontal-relative:page;mso-position-vertical:absolute;mso-position-vertical-relative:page;mso-wrap-distance-left:8.999863pt;mso-wrap-distance-right:8.999863pt;">
                <v:stroke linestyle="thinThick" color="#FF0000"/>
              </v:line>
            </w:pict>
          </mc:Fallback>
        </mc:AlternateContent>
      </w:r>
      <w:r>
        <w:rPr>
          <w:rFonts w:ascii="宋体" w:hAnsi="宋体" w:hint="eastAsia"/>
          <w:lang w:val="en-US" w:eastAsia="zh-CN"/>
        </w:rPr>
        <w:t xml:space="preserve">  </w:t>
      </w:r>
    </w:p>
    <w:p>
      <w:pPr>
        <w:ind w:left="0" w:firstLineChars="0" w:firstLine="0"/>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r>
        <w:rPr>
          <w:rFonts w:ascii="宋体" w:hAnsi="宋体"/>
          <w:lang w:val="en-US" w:eastAsia="zh-CN"/>
        </w:rPr>
        <w:t>（此件公开发布）</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sectPr>
          <w:footerReference w:type="default" r:id="rId2"/>
          <w:pgSz w:w="11906" w:h="16838"/>
          <w:pgMar w:top="3118" w:right="1474" w:bottom="567" w:left="1588" w:header="851" w:footer="567" w:gutter="0"/>
          <w:docGrid w:type="lines" w:linePitch="435" w:charSpace="0"/>
        </w:sectPr>
      </w:pPr>
    </w:p>
    <w:p>
      <w:pPr>
        <w:pStyle w:val="15"/>
        <w:ind w:left="0" w:firstLineChars="0" w:firstLine="0"/>
        <w:jc w:val="both"/>
        <w:rPr>
          <w:rFonts w:ascii="方正仿宋_GBK" w:eastAsia="方正仿宋_GBK" w:cs="方正仿宋_GBK" w:hint="eastAsia"/>
          <w:b w:val="0"/>
          <w:bCs/>
          <w:lang w:val="en-US" w:eastAsia="zh-CN"/>
        </w:rPr>
      </w:pPr>
      <w:r>
        <w:rPr>
          <w:rFonts w:ascii="方正仿宋_GBK" w:eastAsia="方正仿宋_GBK" w:cs="方正仿宋_GBK" w:hint="eastAsia"/>
          <w:b w:val="0"/>
          <w:bCs/>
          <w:lang w:val="en-US" w:eastAsia="zh-CN"/>
        </w:rPr>
        <w:t>（此页无正文）</w:t>
      </w: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p>
      <w:pPr>
        <w:keepNext w:val="0"/>
        <w:keepLines w:val="0"/>
        <w:pageBreakBefore w:val="0"/>
        <w:widowControl w:val="0"/>
        <w:tabs>
          <w:tab w:val="left" w:pos="8190"/>
        </w:tabs>
        <w:kinsoku/>
        <w:wordWrap/>
        <w:overflowPunct/>
        <w:topLinePunct w:val="0"/>
        <w:autoSpaceDE/>
        <w:autoSpaceDN/>
        <w:bidi w:val="0"/>
        <w:adjustRightInd/>
        <w:snapToGrid/>
        <w:spacing w:line="560" w:lineRule="exact"/>
        <w:ind w:left="0" w:firstLineChars="100" w:firstLine="280"/>
        <w:jc w:val="left"/>
        <w:textAlignment w:val="auto"/>
        <w:rPr>
          <w:rFonts w:ascii="宋体" w:hAnsi="宋体" w:hint="eastAsia"/>
          <w:sz w:val="28"/>
          <w:szCs w:val="28"/>
          <w:lang w:eastAsia="zh-CN"/>
        </w:rPr>
      </w:pPr>
    </w:p>
    <w:p>
      <w:pPr>
        <w:keepNext w:val="0"/>
        <w:keepLines w:val="0"/>
        <w:pageBreakBefore w:val="0"/>
        <w:widowControl w:val="0"/>
        <w:tabs>
          <w:tab w:val="left" w:pos="8190"/>
        </w:tabs>
        <w:kinsoku/>
        <w:wordWrap/>
        <w:overflowPunct/>
        <w:topLinePunct w:val="0"/>
        <w:autoSpaceDE/>
        <w:autoSpaceDN/>
        <w:bidi w:val="0"/>
        <w:adjustRightInd/>
        <w:snapToGrid/>
        <w:spacing w:line="560" w:lineRule="exact"/>
        <w:ind w:left="0" w:firstLineChars="100" w:firstLine="280"/>
        <w:jc w:val="left"/>
        <w:textAlignment w:val="auto"/>
        <w:rPr>
          <w:rFonts w:hint="eastAsia"/>
          <w:lang w:val="en-US" w:eastAsia="zh-CN"/>
        </w:rPr>
      </w:pPr>
      <w:r>
        <w:rPr>
          <w:rFonts w:ascii="宋体" w:hAnsi="宋体" w:hint="eastAsia"/>
          <w:sz w:val="28"/>
          <w:szCs w:val="28"/>
          <w:lang w:eastAsia="zh-CN"/>
        </w:rPr>
        <w:t>抄送：重庆市江津区财政局。</w:t>
      </w:r>
    </w:p>
    <w:p>
      <w:pPr>
        <w:keepNext w:val="0"/>
        <w:keepLines w:val="0"/>
        <w:pageBreakBefore w:val="0"/>
        <w:widowControl w:val="0"/>
        <w:kinsoku/>
        <w:wordWrap/>
        <w:overflowPunct/>
        <w:topLinePunct w:val="0"/>
        <w:autoSpaceDE/>
        <w:autoSpaceDN/>
        <w:bidi w:val="0"/>
        <w:spacing w:line="560" w:lineRule="exact"/>
        <w:ind w:left="0" w:firstLineChars="0" w:firstLine="0"/>
        <w:jc w:val="center"/>
        <w:rPr>
          <w:rFonts w:ascii="宋体" w:eastAsia="方正仿宋_GBK" w:hAnsi="宋体" w:hint="eastAsia"/>
          <w:sz w:val="32"/>
          <w:szCs w:val="32"/>
        </w:rPr>
      </w:pPr>
      <w:r>
        <w:rPr>
          <w:rFonts w:ascii="宋体" w:eastAsia="方正小标宋_GBK" w:hAnsi="宋体" w:hint="eastAsia"/>
          <w:color w:val="000000"/>
          <w:sz w:val="44"/>
          <w:szCs w:val="44"/>
        </w:rPr>
        <w:t>江津区</w:t>
      </w:r>
      <w:r>
        <w:rPr>
          <w:rFonts w:ascii="宋体" w:hAnsi="宋体" w:hint="eastAsia"/>
          <w:color w:val="000000"/>
          <w:sz w:val="44"/>
          <w:szCs w:val="44"/>
        </w:rPr>
        <w:t>202</w:t>
      </w:r>
      <w:r>
        <w:rPr>
          <w:rFonts w:ascii="宋体" w:hAnsi="宋体" w:hint="eastAsia"/>
          <w:color w:val="000000"/>
          <w:sz w:val="44"/>
          <w:szCs w:val="44"/>
          <w:lang w:val="en-US" w:eastAsia="zh-CN"/>
        </w:rPr>
        <w:t>5</w:t>
      </w:r>
      <w:r>
        <w:rPr>
          <w:rFonts w:ascii="宋体" w:eastAsia="方正小标宋_GBK" w:hAnsi="宋体" w:hint="eastAsia"/>
          <w:color w:val="000000"/>
          <w:sz w:val="44"/>
          <w:szCs w:val="44"/>
        </w:rPr>
        <w:t>年高素质</w:t>
      </w:r>
      <w:r>
        <w:rPr>
          <w:rFonts w:ascii="宋体" w:eastAsia="方正小标宋_GBK" w:hAnsi="宋体" w:hint="eastAsia"/>
          <w:sz w:val="44"/>
          <w:szCs w:val="44"/>
        </w:rPr>
        <w:t>农民</w:t>
      </w:r>
      <w:r>
        <w:rPr>
          <w:rFonts w:ascii="宋体" w:eastAsia="方正小标宋_GBK" w:hAnsi="宋体" w:hint="eastAsia"/>
          <w:sz w:val="44"/>
          <w:szCs w:val="44"/>
          <w:lang w:eastAsia="zh-CN"/>
        </w:rPr>
        <w:t>培育</w:t>
      </w:r>
      <w:r>
        <w:rPr>
          <w:rFonts w:ascii="宋体" w:eastAsia="方正小标宋_GBK" w:hAnsi="宋体" w:hint="eastAsia"/>
          <w:sz w:val="44"/>
          <w:szCs w:val="44"/>
          <w:lang w:val="en-US" w:eastAsia="zh-CN"/>
        </w:rPr>
        <w:t>实施</w:t>
      </w:r>
      <w:r>
        <w:rPr>
          <w:rFonts w:ascii="宋体" w:eastAsia="方正小标宋_GBK" w:hAnsi="宋体" w:hint="eastAsia"/>
          <w:sz w:val="44"/>
          <w:szCs w:val="44"/>
          <w:lang w:eastAsia="zh-CN"/>
        </w:rPr>
        <w:t>方案</w:t>
      </w:r>
    </w:p>
    <w:p>
      <w:pPr>
        <w:keepNext w:val="0"/>
        <w:keepLines w:val="0"/>
        <w:pageBreakBefore w:val="0"/>
        <w:widowControl w:val="0"/>
        <w:kinsoku/>
        <w:wordWrap/>
        <w:overflowPunct/>
        <w:topLinePunct w:val="0"/>
        <w:autoSpaceDE/>
        <w:autoSpaceDN/>
        <w:bidi w:val="0"/>
        <w:spacing w:line="560" w:lineRule="exact"/>
        <w:ind w:left="0" w:firstLineChars="200" w:firstLine="640"/>
        <w:jc w:val="center"/>
        <w:rPr>
          <w:rFonts w:ascii="宋体" w:eastAsia="方正仿宋_GBK" w:hAnsi="宋体" w:hint="eastAsia"/>
          <w:sz w:val="32"/>
          <w:szCs w:val="32"/>
        </w:rPr>
      </w:pPr>
    </w:p>
    <w:p>
      <w:pPr>
        <w:keepNext w:val="0"/>
        <w:keepLines w:val="0"/>
        <w:widowControl/>
        <w:suppressLineNumbers w:val="0"/>
        <w:jc w:val="left"/>
        <w:rPr>
          <w:rFonts w:ascii="宋体" w:cs="Times New Roman" w:hAnsi="宋体" w:hint="eastAsia"/>
          <w:sz w:val="32"/>
          <w:szCs w:val="32"/>
          <w:lang w:val="en-US" w:eastAsia="zh-CN"/>
        </w:rPr>
      </w:pPr>
      <w:r>
        <w:rPr>
          <w:rFonts w:ascii="宋体" w:cs="Times New Roman" w:hAnsi="宋体" w:hint="eastAsia"/>
          <w:sz w:val="32"/>
          <w:szCs w:val="32"/>
          <w:lang w:val="en-US" w:eastAsia="zh-CN"/>
        </w:rPr>
        <w:t xml:space="preserve">为深入贯彻落实习近平总书记关于推动乡村人才振兴的重 </w:t>
      </w:r>
    </w:p>
    <w:p>
      <w:pPr>
        <w:keepNext w:val="0"/>
        <w:keepLines w:val="0"/>
        <w:widowControl/>
        <w:suppressLineNumbers w:val="0"/>
        <w:ind w:left="0" w:firstLineChars="0" w:firstLine="0"/>
        <w:jc w:val="left"/>
        <w:rPr>
          <w:rFonts w:ascii="宋体" w:hAnsi="宋体"/>
        </w:rPr>
      </w:pPr>
      <w:r>
        <w:rPr>
          <w:rFonts w:ascii="宋体" w:cs="Times New Roman" w:hAnsi="宋体" w:hint="eastAsia"/>
          <w:sz w:val="32"/>
          <w:szCs w:val="32"/>
          <w:lang w:val="en-US" w:eastAsia="zh-CN"/>
        </w:rPr>
        <w:t>要指示及市乡村人才振兴工作专班《重庆市乡村人才振兴行动实施方案（2025—2030 年）》有关精神，做好 2025 年我区高素质农民培育工作，</w:t>
      </w:r>
      <w:r>
        <w:rPr>
          <w:rFonts w:ascii="宋体" w:eastAsia="方正仿宋_GBK" w:cs="方正仿宋_GBK" w:hAnsi="宋体"/>
          <w:color w:val="000000"/>
          <w:kern w:val="0"/>
          <w:sz w:val="31"/>
          <w:szCs w:val="31"/>
          <w:lang w:val="en-US" w:eastAsia="zh-CN"/>
        </w:rPr>
        <w:t>制定本方案。</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both"/>
        <w:outlineLvl w:val="9"/>
        <w:rPr>
          <w:rFonts w:ascii="宋体" w:eastAsia="方正黑体_GBK" w:cs="方正黑体_GBK" w:hAnsi="宋体" w:hint="eastAsia"/>
          <w:bCs/>
          <w:kern w:val="0"/>
          <w:lang w:val="en-US" w:eastAsia="zh-CN"/>
        </w:rPr>
      </w:pPr>
      <w:r>
        <w:rPr>
          <w:rFonts w:ascii="宋体" w:eastAsia="方正黑体_GBK" w:cs="方正黑体_GBK" w:hAnsi="宋体" w:hint="eastAsia"/>
          <w:bCs/>
          <w:kern w:val="0"/>
          <w:lang w:val="en-US" w:eastAsia="zh-CN"/>
        </w:rPr>
        <w:t>一、目标任务</w:t>
      </w:r>
    </w:p>
    <w:p>
      <w:pPr>
        <w:keepNext w:val="0"/>
        <w:keepLines w:val="0"/>
        <w:widowControl/>
        <w:suppressLineNumbers w:val="0"/>
        <w:jc w:val="left"/>
        <w:rPr>
          <w:rFonts w:ascii="宋体" w:hAnsi="宋体" w:hint="eastAsia"/>
          <w:bCs/>
        </w:rPr>
      </w:pPr>
      <w:r>
        <w:rPr>
          <w:rFonts w:ascii="宋体" w:eastAsia="方正仿宋_GBK" w:cs="方正仿宋_GBK" w:hAnsi="宋体" w:hint="eastAsia"/>
          <w:i w:val="0"/>
          <w:caps w:val="0"/>
          <w:smallCaps w:val="0"/>
          <w:color w:val="333333"/>
          <w:spacing w:val="0"/>
          <w:sz w:val="32"/>
          <w:szCs w:val="32"/>
          <w:shd w:val="clear" w:color="auto" w:fill="FFFFFF"/>
          <w:lang w:eastAsia="zh-CN"/>
        </w:rPr>
        <w:t>按照</w:t>
      </w:r>
      <w:r>
        <w:rPr>
          <w:rFonts w:ascii="宋体" w:cs="方正仿宋_GBK" w:hAnsi="宋体" w:hint="eastAsia"/>
          <w:i w:val="0"/>
          <w:caps w:val="0"/>
          <w:smallCaps w:val="0"/>
          <w:color w:val="333333"/>
          <w:spacing w:val="0"/>
          <w:sz w:val="32"/>
          <w:szCs w:val="32"/>
          <w:shd w:val="clear" w:color="auto" w:fill="FFFFFF"/>
          <w:lang w:eastAsia="zh-CN"/>
        </w:rPr>
        <w:t>《</w:t>
      </w:r>
      <w:r>
        <w:rPr>
          <w:rFonts w:ascii="宋体" w:eastAsia="方正仿宋_GBK" w:cs="方正仿宋_GBK" w:hAnsi="宋体" w:hint="eastAsia"/>
          <w:i w:val="0"/>
          <w:caps w:val="0"/>
          <w:smallCaps w:val="0"/>
          <w:color w:val="333333"/>
          <w:spacing w:val="0"/>
          <w:sz w:val="32"/>
          <w:szCs w:val="32"/>
          <w:shd w:val="clear" w:color="auto" w:fill="FFFFFF"/>
          <w:lang w:eastAsia="zh-CN"/>
        </w:rPr>
        <w:t>重庆市农业农村委员会</w:t>
      </w:r>
      <w:r>
        <w:rPr>
          <w:rFonts w:ascii="宋体" w:cs="方正仿宋_GBK" w:hAnsi="宋体" w:hint="eastAsia"/>
          <w:i w:val="0"/>
          <w:caps w:val="0"/>
          <w:smallCaps w:val="0"/>
          <w:color w:val="333333"/>
          <w:spacing w:val="0"/>
          <w:sz w:val="32"/>
          <w:szCs w:val="32"/>
          <w:shd w:val="clear" w:color="auto" w:fill="FFFFFF"/>
          <w:lang w:val="en-US" w:eastAsia="zh-CN"/>
        </w:rPr>
        <w:t xml:space="preserve"> </w:t>
      </w:r>
      <w:r>
        <w:rPr>
          <w:rFonts w:ascii="宋体" w:eastAsia="方正仿宋_GBK" w:cs="方正仿宋_GBK" w:hAnsi="宋体" w:hint="eastAsia"/>
          <w:i w:val="0"/>
          <w:caps w:val="0"/>
          <w:smallCaps w:val="0"/>
          <w:color w:val="333333"/>
          <w:spacing w:val="0"/>
          <w:sz w:val="32"/>
          <w:szCs w:val="32"/>
          <w:shd w:val="clear" w:color="auto" w:fill="FFFFFF"/>
          <w:lang w:eastAsia="zh-CN"/>
        </w:rPr>
        <w:t>重庆市财政局 重庆市人力资源</w:t>
      </w:r>
      <w:r>
        <w:rPr>
          <w:rFonts w:ascii="宋体" w:eastAsia="方正仿宋_GBK" w:cs="方正仿宋_GBK" w:hAnsi="宋体"/>
          <w:i w:val="0"/>
          <w:caps w:val="0"/>
          <w:smallCaps w:val="0"/>
          <w:color w:val="333333"/>
          <w:spacing w:val="0"/>
          <w:sz w:val="32"/>
          <w:szCs w:val="32"/>
          <w:shd w:val="clear" w:color="auto" w:fill="FFFFFF"/>
          <w:lang w:eastAsia="zh-CN"/>
        </w:rPr>
        <w:t>和</w:t>
      </w:r>
      <w:r>
        <w:rPr>
          <w:rFonts w:ascii="宋体" w:eastAsia="方正仿宋_GBK" w:cs="方正仿宋_GBK" w:hAnsi="宋体" w:hint="eastAsia"/>
          <w:i w:val="0"/>
          <w:caps w:val="0"/>
          <w:smallCaps w:val="0"/>
          <w:color w:val="333333"/>
          <w:spacing w:val="0"/>
          <w:sz w:val="32"/>
          <w:szCs w:val="32"/>
          <w:shd w:val="clear" w:color="auto" w:fill="FFFFFF"/>
          <w:lang w:eastAsia="zh-CN"/>
        </w:rPr>
        <w:t>社会保障局关于印发〈重庆市高素质农民培育2025年度实施方案〉的通知</w:t>
      </w:r>
      <w:r>
        <w:rPr>
          <w:rFonts w:ascii="宋体" w:cs="方正仿宋_GBK" w:hAnsi="宋体" w:hint="eastAsia"/>
          <w:i w:val="0"/>
          <w:caps w:val="0"/>
          <w:smallCaps w:val="0"/>
          <w:color w:val="333333"/>
          <w:spacing w:val="0"/>
          <w:sz w:val="32"/>
          <w:szCs w:val="32"/>
          <w:shd w:val="clear" w:color="auto" w:fill="FFFFFF"/>
          <w:lang w:eastAsia="zh-CN"/>
        </w:rPr>
        <w:t>》（</w:t>
      </w:r>
      <w:r>
        <w:rPr>
          <w:rFonts w:ascii="宋体" w:eastAsia="方正仿宋_GBK" w:cs="方正仿宋_GBK" w:hAnsi="宋体"/>
          <w:color w:val="000000"/>
          <w:kern w:val="0"/>
          <w:sz w:val="31"/>
          <w:szCs w:val="31"/>
          <w:lang w:val="en-US" w:eastAsia="zh-CN"/>
        </w:rPr>
        <w:t>渝农发〔2025〕73 号</w:t>
      </w:r>
      <w:r>
        <w:rPr>
          <w:rFonts w:ascii="宋体" w:cs="方正仿宋_GBK" w:hAnsi="宋体" w:hint="eastAsia"/>
          <w:i w:val="0"/>
          <w:caps w:val="0"/>
          <w:smallCaps w:val="0"/>
          <w:color w:val="333333"/>
          <w:spacing w:val="0"/>
          <w:sz w:val="32"/>
          <w:szCs w:val="32"/>
          <w:shd w:val="clear" w:color="auto" w:fill="FFFFFF"/>
          <w:lang w:eastAsia="zh-CN"/>
        </w:rPr>
        <w:t>）</w:t>
      </w:r>
      <w:r>
        <w:rPr>
          <w:rFonts w:ascii="宋体" w:cs="方正仿宋_GBK" w:hAnsi="宋体" w:hint="eastAsia"/>
          <w:bCs/>
          <w:kern w:val="0"/>
          <w:lang w:val="en-US" w:eastAsia="zh-CN"/>
        </w:rPr>
        <w:t>下达的目标任务</w:t>
      </w:r>
      <w:r>
        <w:rPr>
          <w:rFonts w:ascii="宋体" w:eastAsia="方正仿宋_GBK" w:cs="方正仿宋_GBK" w:hAnsi="宋体" w:hint="eastAsia"/>
          <w:i w:val="0"/>
          <w:caps w:val="0"/>
          <w:smallCaps w:val="0"/>
          <w:color w:val="333333"/>
          <w:spacing w:val="0"/>
          <w:sz w:val="32"/>
          <w:szCs w:val="32"/>
          <w:shd w:val="clear" w:color="auto" w:fill="FFFFFF"/>
          <w:lang w:eastAsia="zh-CN"/>
        </w:rPr>
        <w:t>要求</w:t>
      </w:r>
      <w:r>
        <w:rPr>
          <w:rFonts w:ascii="宋体" w:cs="方正仿宋_GBK" w:hAnsi="宋体" w:hint="eastAsia"/>
          <w:i w:val="0"/>
          <w:caps w:val="0"/>
          <w:smallCaps w:val="0"/>
          <w:color w:val="333333"/>
          <w:spacing w:val="0"/>
          <w:sz w:val="32"/>
          <w:szCs w:val="32"/>
          <w:shd w:val="clear" w:color="auto" w:fill="FFFFFF"/>
          <w:lang w:eastAsia="zh-CN"/>
        </w:rPr>
        <w:t>，</w:t>
      </w:r>
      <w:r>
        <w:rPr>
          <w:rFonts w:ascii="宋体" w:cs="方正仿宋_GBK" w:hAnsi="宋体" w:hint="eastAsia"/>
          <w:i w:val="0"/>
          <w:caps w:val="0"/>
          <w:smallCaps w:val="0"/>
          <w:color w:val="333333"/>
          <w:spacing w:val="0"/>
          <w:sz w:val="32"/>
          <w:szCs w:val="32"/>
          <w:shd w:val="clear" w:color="auto" w:fill="FFFFFF"/>
          <w:lang w:val="en-US" w:eastAsia="zh-CN"/>
        </w:rPr>
        <w:t>结合之前</w:t>
      </w:r>
      <w:r>
        <w:rPr>
          <w:rFonts w:ascii="宋体" w:cs="方正仿宋_GBK" w:hAnsi="宋体" w:hint="eastAsia"/>
          <w:bCs/>
          <w:kern w:val="0"/>
          <w:lang w:val="en-US" w:eastAsia="zh-CN"/>
        </w:rPr>
        <w:t>上报市级认可的全区培训需求摸底情况。</w:t>
      </w:r>
      <w:r>
        <w:rPr>
          <w:rFonts w:ascii="宋体" w:cs="方正仿宋_GBK" w:hAnsi="宋体" w:hint="eastAsia"/>
          <w:bCs/>
          <w:kern w:val="0"/>
        </w:rPr>
        <w:t>202</w:t>
      </w:r>
      <w:r>
        <w:rPr>
          <w:rFonts w:ascii="宋体" w:cs="方正仿宋_GBK" w:hAnsi="宋体" w:hint="eastAsia"/>
          <w:bCs/>
          <w:kern w:val="0"/>
          <w:lang w:val="en-US" w:eastAsia="zh-CN"/>
        </w:rPr>
        <w:t>5</w:t>
      </w:r>
      <w:r>
        <w:rPr>
          <w:rFonts w:ascii="宋体" w:cs="方正仿宋_GBK" w:hAnsi="宋体" w:hint="eastAsia"/>
          <w:bCs/>
          <w:kern w:val="0"/>
        </w:rPr>
        <w:t>年全区</w:t>
      </w:r>
      <w:r>
        <w:rPr>
          <w:rFonts w:ascii="宋体" w:cs="方正仿宋_GBK" w:hAnsi="宋体" w:hint="eastAsia"/>
          <w:bCs/>
          <w:kern w:val="0"/>
          <w:lang w:eastAsia="zh-CN"/>
        </w:rPr>
        <w:t>计划培育高素质农民</w:t>
      </w:r>
      <w:r>
        <w:rPr>
          <w:rFonts w:ascii="宋体" w:cs="方正仿宋_GBK" w:hAnsi="宋体" w:hint="eastAsia"/>
          <w:bCs/>
          <w:kern w:val="0"/>
          <w:lang w:val="en-US" w:eastAsia="zh-CN"/>
        </w:rPr>
        <w:t>632</w:t>
      </w:r>
      <w:r>
        <w:rPr>
          <w:rFonts w:ascii="宋体" w:cs="方正仿宋_GBK" w:hAnsi="宋体" w:hint="eastAsia"/>
          <w:bCs/>
          <w:kern w:val="0"/>
        </w:rPr>
        <w:t>人</w:t>
      </w:r>
      <w:r>
        <w:rPr>
          <w:rFonts w:ascii="宋体" w:cs="方正仿宋_GBK" w:hAnsi="宋体" w:hint="eastAsia"/>
          <w:bCs/>
          <w:kern w:val="0"/>
          <w:lang w:eastAsia="zh-CN"/>
        </w:rPr>
        <w:t>。</w:t>
      </w:r>
      <w:r>
        <w:rPr>
          <w:rFonts w:ascii="宋体" w:cs="方正仿宋_GBK" w:hAnsi="宋体" w:hint="eastAsia"/>
          <w:bCs/>
          <w:kern w:val="0"/>
        </w:rPr>
        <w:t>其中，</w:t>
      </w:r>
      <w:r>
        <w:rPr>
          <w:rFonts w:ascii="宋体" w:cs="方正仿宋_GBK" w:hAnsi="宋体" w:hint="eastAsia"/>
          <w:bCs/>
          <w:kern w:val="0"/>
          <w:lang w:eastAsia="zh-CN"/>
        </w:rPr>
        <w:t>常规培训任务</w:t>
      </w:r>
      <w:r>
        <w:rPr>
          <w:rFonts w:ascii="宋体" w:cs="方正仿宋_GBK" w:hAnsi="宋体" w:hint="eastAsia"/>
          <w:bCs/>
          <w:kern w:val="0"/>
          <w:lang w:val="en-US" w:eastAsia="zh-CN"/>
        </w:rPr>
        <w:t>300人，拟开设6个培训班，每班50人；专题培训任务332人，拟开设农机手（含无人机）专题班10个，每班30人、新型经营主体数字化技能应用（乡村网红）专题班1个，32人。</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both"/>
        <w:outlineLvl w:val="9"/>
        <w:rPr>
          <w:rFonts w:ascii="宋体" w:eastAsia="方正黑体_GBK" w:cs="方正黑体_GBK" w:hAnsi="宋体" w:hint="eastAsia"/>
          <w:bCs/>
          <w:kern w:val="0"/>
          <w:lang w:val="en-US" w:eastAsia="zh-CN"/>
        </w:rPr>
      </w:pPr>
      <w:r>
        <w:rPr>
          <w:rFonts w:ascii="宋体" w:eastAsia="方正黑体_GBK" w:cs="方正黑体_GBK" w:hAnsi="宋体" w:hint="eastAsia"/>
          <w:bCs/>
          <w:kern w:val="0"/>
          <w:lang w:val="en-US" w:eastAsia="zh-CN"/>
        </w:rPr>
        <w:t>二、主要工作</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eastAsia="方正仿宋_GBK" w:cs="Times New Roman" w:hAnsi="宋体"/>
          <w:sz w:val="32"/>
          <w:szCs w:val="32"/>
        </w:rPr>
      </w:pPr>
      <w:r>
        <w:rPr>
          <w:rFonts w:ascii="宋体" w:eastAsia="方正楷体_GBK" w:cs="方正楷体_GBK" w:hAnsi="宋体" w:hint="eastAsia"/>
          <w:bCs/>
          <w:color w:val="auto"/>
          <w:kern w:val="0"/>
          <w:sz w:val="32"/>
          <w:szCs w:val="32"/>
          <w:lang w:val="en-US" w:eastAsia="zh-CN" w:bidi="ar-SA"/>
        </w:rPr>
        <w:t>（一）</w:t>
      </w:r>
      <w:r>
        <w:rPr>
          <w:rFonts w:ascii="宋体" w:eastAsia="方正楷体_GBK" w:cs="方正楷体_GBK" w:hAnsi="宋体" w:hint="eastAsia"/>
          <w:sz w:val="32"/>
          <w:szCs w:val="32"/>
        </w:rPr>
        <w:t>做好培育对象储备</w:t>
      </w:r>
      <w:r>
        <w:rPr>
          <w:rFonts w:ascii="宋体" w:eastAsia="方正仿宋_GBK" w:cs="Times New Roman" w:hAnsi="宋体"/>
          <w:sz w:val="32"/>
          <w:szCs w:val="32"/>
        </w:rPr>
        <w:t>。各镇街要依托全国农民教育培训信息管理系统“培育对象库”，对已培育对象进行一次全面跟踪</w:t>
      </w:r>
      <w:r>
        <w:rPr>
          <w:rFonts w:ascii="宋体" w:cs="Times New Roman" w:hAnsi="宋体" w:hint="eastAsia"/>
          <w:sz w:val="32"/>
          <w:szCs w:val="32"/>
          <w:lang w:eastAsia="zh-CN"/>
        </w:rPr>
        <w:t>，</w:t>
      </w:r>
      <w:r>
        <w:rPr>
          <w:rFonts w:ascii="宋体" w:cs="方正仿宋_GBK" w:hAnsi="宋体" w:hint="eastAsia"/>
          <w:bCs/>
          <w:color w:val="auto"/>
          <w:kern w:val="0"/>
          <w:lang w:val="en-US" w:eastAsia="zh-CN"/>
        </w:rPr>
        <w:t>建立参训学员台账。重点对3年内继续从事农业产业发展、年龄在45岁以下、学历在高中（中专）及以上的培育对象开展摸排，并同步到“巴渝新农人培育”应用培育对象储备库，组织好各类重点对象参加培训。</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eastAsia="方正楷体_GBK" w:cs="方正楷体_GBK" w:hAnsi="宋体" w:hint="eastAsia"/>
          <w:kern w:val="2"/>
          <w:sz w:val="32"/>
          <w:szCs w:val="32"/>
          <w:lang w:val="en-US" w:eastAsia="zh-CN" w:bidi="ar-SA"/>
        </w:rPr>
      </w:pPr>
      <w:r>
        <w:rPr>
          <w:rFonts w:ascii="宋体" w:eastAsia="方正楷体_GBK" w:cs="方正楷体_GBK" w:hAnsi="宋体" w:hint="eastAsia"/>
          <w:kern w:val="2"/>
          <w:sz w:val="32"/>
          <w:szCs w:val="32"/>
          <w:lang w:val="en-US" w:eastAsia="zh-CN" w:bidi="ar-SA"/>
        </w:rPr>
        <w:t>（二）围绕重点精准制定培育计划。</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cs="方正仿宋_GBK" w:hAnsi="宋体" w:hint="eastAsia"/>
          <w:bCs/>
          <w:color w:val="auto"/>
          <w:kern w:val="0"/>
          <w:lang w:val="en-US" w:eastAsia="zh-CN"/>
        </w:rPr>
      </w:pPr>
      <w:r>
        <w:rPr>
          <w:rFonts w:ascii="宋体" w:eastAsia="方正楷体_GBK" w:cs="方正楷体_GBK" w:hAnsi="宋体" w:hint="eastAsia"/>
          <w:bCs/>
          <w:color w:val="auto"/>
          <w:kern w:val="0"/>
          <w:lang w:val="en-US" w:eastAsia="zh-CN"/>
        </w:rPr>
        <w:t>一是实施粮油和重要农产品生产经营主体提升行动</w:t>
      </w:r>
      <w:r>
        <w:rPr>
          <w:rFonts w:ascii="宋体" w:cs="方正仿宋_GBK" w:hAnsi="宋体" w:hint="eastAsia"/>
          <w:bCs/>
          <w:color w:val="auto"/>
          <w:kern w:val="0"/>
          <w:lang w:val="en-US" w:eastAsia="zh-CN"/>
        </w:rPr>
        <w:t>。围绕保障国家粮食安全，以粮油领域新品种、新技术、新装备应用等为主要内容，组织开展粮油产能提升主体培育，举办水稻种植培训班1个，培训50人；围绕践行大食物观，以畜牧、水产、园艺等种植养殖理论、生产技术、质量安全（含农业类强制性国家标准）和绿色发展等知识技能为主要内容，结合地方农业特色，开展重要农产品生产经营主体能力提升培育，举办特色产业培训班4个，培训200人；围绕支撑农业机械化全程全面高质量发展和提升农机作业服务质量，聚焦水稻、油菜等粮油作物耕种管收机械化作业环节，着力培养一批高素质农机手、农业生产无人机飞手，举办10个农机手技能提升专题培训班，培训300人。</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cs="方正仿宋_GBK" w:hAnsi="宋体"/>
          <w:bCs/>
          <w:color w:val="auto"/>
          <w:kern w:val="0"/>
          <w:lang w:val="en-US" w:eastAsia="zh-CN"/>
        </w:rPr>
      </w:pPr>
      <w:r>
        <w:rPr>
          <w:rFonts w:ascii="宋体" w:eastAsia="方正楷体_GBK" w:cs="方正楷体_GBK" w:hAnsi="宋体" w:hint="eastAsia"/>
          <w:bCs/>
          <w:color w:val="auto"/>
          <w:kern w:val="0"/>
          <w:lang w:val="en-US" w:eastAsia="zh-CN"/>
        </w:rPr>
        <w:t>二是实施新产业新业态带头人培育行动</w:t>
      </w:r>
      <w:r>
        <w:rPr>
          <w:rFonts w:ascii="宋体" w:cs="方正仿宋_GBK" w:hAnsi="宋体" w:hint="eastAsia"/>
          <w:bCs/>
          <w:color w:val="auto"/>
          <w:kern w:val="0"/>
          <w:lang w:val="en-US" w:eastAsia="zh-CN"/>
        </w:rPr>
        <w:t>。围绕农村一二三产业融合发展和乡村新产业、新业态的人才需求，突出农业与科技、文化、教育、旅游、康养等融合的“农业+”新产业，培养素质能力与乡村新产业新业态高度契合的带头人。重点关注返乡大学生、农民工、退役军人等青年群体，培养一批具有长期发展带动能力的青年带头人，举办1个新型农业经营主体数字化技能应用能力提升（乡村网红）专题培训班，培训32人。</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both"/>
        <w:outlineLvl w:val="9"/>
        <w:rPr>
          <w:rFonts w:ascii="宋体" w:eastAsia="方正楷体_GBK" w:cs="方正楷体_GBK" w:hAnsi="宋体" w:hint="eastAsia"/>
          <w:kern w:val="2"/>
          <w:sz w:val="32"/>
          <w:szCs w:val="32"/>
          <w:lang w:val="en-US" w:eastAsia="zh-CN" w:bidi="ar-SA"/>
        </w:rPr>
      </w:pPr>
      <w:r>
        <w:rPr>
          <w:rFonts w:ascii="宋体" w:eastAsia="方正楷体_GBK" w:cs="方正楷体_GBK" w:hAnsi="宋体" w:hint="eastAsia"/>
          <w:bCs/>
          <w:color w:val="auto"/>
          <w:kern w:val="0"/>
          <w:lang w:val="en-US" w:eastAsia="zh-CN"/>
        </w:rPr>
        <w:t>三是</w:t>
      </w:r>
      <w:r>
        <w:rPr>
          <w:rFonts w:ascii="宋体" w:eastAsia="方正楷体_GBK" w:cs="方正楷体_GBK" w:hAnsi="宋体" w:hint="eastAsia"/>
          <w:spacing w:val="9"/>
          <w:position w:val="2"/>
        </w:rPr>
        <w:t>实施乡村建设治理人才培育</w:t>
      </w:r>
      <w:r>
        <w:rPr>
          <w:rFonts w:ascii="宋体" w:eastAsia="方正楷体_GBK" w:cs="方正楷体_GBK" w:hAnsi="宋体" w:hint="eastAsia"/>
          <w:spacing w:val="9"/>
          <w:position w:val="2"/>
          <w:lang w:eastAsia="zh-CN"/>
        </w:rPr>
        <w:t>行动</w:t>
      </w:r>
      <w:r>
        <w:rPr>
          <w:rFonts w:ascii="宋体" w:eastAsia="方正仿宋_GBK" w:hAnsi="宋体" w:hint="eastAsia"/>
          <w:spacing w:val="9"/>
          <w:position w:val="2"/>
          <w:lang w:eastAsia="zh-CN"/>
        </w:rPr>
        <w:t>。</w:t>
      </w:r>
      <w:r>
        <w:rPr>
          <w:rFonts w:ascii="宋体" w:cs="方正仿宋_GBK" w:hAnsi="宋体" w:hint="eastAsia"/>
          <w:bCs/>
          <w:color w:val="auto"/>
          <w:kern w:val="0"/>
          <w:lang w:val="en-US" w:eastAsia="zh-CN"/>
        </w:rPr>
        <w:t>围绕乡村建设、治理、发展对各类人才的需求，开展乡村建设治理人才培育，提升农民积极参与乡村建设、乡村治理的积极性和能力水平。重点抓好农村集体经济经理人（乡村CEO）等示范培育，特别是在提高经营管理能力上下功夫，打造乡村产业振兴带头人“金白领”队伍，举办“乡村CEO”区级示范培训班1个，培训50人。</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eastAsia="方正楷体_GBK" w:cs="方正楷体_GBK" w:hAnsi="宋体" w:hint="eastAsia"/>
          <w:sz w:val="32"/>
          <w:szCs w:val="32"/>
          <w:lang w:val="en-US" w:eastAsia="zh-CN"/>
        </w:rPr>
      </w:pPr>
      <w:r>
        <w:rPr>
          <w:rFonts w:ascii="宋体" w:eastAsia="方正楷体_GBK" w:cs="方正楷体_GBK" w:hAnsi="宋体" w:hint="eastAsia"/>
          <w:sz w:val="32"/>
          <w:szCs w:val="32"/>
          <w:lang w:val="en-US" w:eastAsia="zh-CN"/>
        </w:rPr>
        <w:t>（三）</w:t>
      </w:r>
      <w:r>
        <w:rPr>
          <w:rFonts w:ascii="宋体" w:eastAsia="方正楷体_GBK" w:cs="方正楷体_GBK" w:hAnsi="宋体"/>
          <w:sz w:val="32"/>
          <w:szCs w:val="32"/>
        </w:rPr>
        <w:t>创新培育模式和方式。</w:t>
      </w:r>
    </w:p>
    <w:p>
      <w:pPr>
        <w:keepNext w:val="0"/>
        <w:keepLines w:val="0"/>
        <w:widowControl/>
        <w:suppressLineNumbers w:val="0"/>
        <w:jc w:val="left"/>
        <w:rPr>
          <w:rFonts w:ascii="宋体" w:hAnsi="宋体"/>
        </w:rPr>
      </w:pPr>
      <w:r>
        <w:rPr>
          <w:rFonts w:ascii="宋体" w:eastAsia="方正楷体_GBK" w:cs="方正楷体_GBK" w:hAnsi="宋体" w:hint="eastAsia"/>
          <w:sz w:val="32"/>
          <w:szCs w:val="32"/>
          <w:lang w:eastAsia="zh-CN"/>
        </w:rPr>
        <w:t>一是</w:t>
      </w:r>
      <w:r>
        <w:rPr>
          <w:rFonts w:ascii="宋体" w:eastAsia="方正仿宋_GBK" w:cs="Times New Roman" w:hAnsi="宋体"/>
          <w:sz w:val="32"/>
          <w:szCs w:val="32"/>
        </w:rPr>
        <w:t>坚持“产业主线、分层实施”</w:t>
      </w:r>
      <w:r>
        <w:rPr>
          <w:rFonts w:ascii="宋体" w:cs="Times New Roman" w:hAnsi="宋体" w:hint="eastAsia"/>
          <w:sz w:val="32"/>
          <w:szCs w:val="32"/>
          <w:lang w:eastAsia="zh-CN"/>
        </w:rPr>
        <w:t>。</w:t>
      </w:r>
      <w:r>
        <w:rPr>
          <w:rFonts w:ascii="宋体" w:cs="Times New Roman" w:hAnsi="宋体" w:hint="eastAsia"/>
          <w:sz w:val="32"/>
          <w:szCs w:val="32"/>
          <w:lang w:val="en-US" w:eastAsia="zh-CN"/>
        </w:rPr>
        <w:t>常规培训是指</w:t>
      </w:r>
      <w:r>
        <w:rPr>
          <w:rFonts w:ascii="宋体" w:cs="Times New Roman" w:hAnsi="宋体" w:hint="eastAsia"/>
          <w:sz w:val="32"/>
          <w:szCs w:val="32"/>
          <w:lang w:eastAsia="zh-CN"/>
        </w:rPr>
        <w:t>镇</w:t>
      </w:r>
      <w:r>
        <w:rPr>
          <w:rFonts w:ascii="宋体" w:cs="Times New Roman" w:hAnsi="宋体" w:hint="eastAsia"/>
          <w:sz w:val="32"/>
          <w:szCs w:val="32"/>
          <w:lang w:val="en-US" w:eastAsia="zh-CN"/>
        </w:rPr>
        <w:t>街及以下，</w:t>
      </w:r>
      <w:r>
        <w:rPr>
          <w:rFonts w:ascii="宋体" w:cs="Times New Roman" w:hAnsi="宋体" w:hint="eastAsia"/>
          <w:sz w:val="32"/>
          <w:szCs w:val="32"/>
          <w:lang w:eastAsia="zh-CN"/>
        </w:rPr>
        <w:t>重点聚焦技术、技能和综合素养提升</w:t>
      </w:r>
      <w:r>
        <w:rPr>
          <w:rFonts w:ascii="宋体" w:cs="Times New Roman" w:hAnsi="宋体" w:hint="eastAsia"/>
          <w:sz w:val="32"/>
          <w:szCs w:val="32"/>
          <w:lang w:val="en-US" w:eastAsia="zh-CN"/>
        </w:rPr>
        <w:t>等</w:t>
      </w:r>
      <w:r>
        <w:rPr>
          <w:rFonts w:ascii="宋体" w:cs="Times New Roman" w:hAnsi="宋体" w:hint="eastAsia"/>
          <w:sz w:val="32"/>
          <w:szCs w:val="32"/>
          <w:lang w:eastAsia="zh-CN"/>
        </w:rPr>
        <w:t>开展</w:t>
      </w:r>
      <w:r>
        <w:rPr>
          <w:rFonts w:ascii="宋体" w:cs="Times New Roman" w:hAnsi="宋体" w:hint="eastAsia"/>
          <w:sz w:val="32"/>
          <w:szCs w:val="32"/>
          <w:lang w:val="en-US" w:eastAsia="zh-CN"/>
        </w:rPr>
        <w:t>的</w:t>
      </w:r>
      <w:r>
        <w:rPr>
          <w:rFonts w:ascii="宋体" w:cs="Times New Roman" w:hAnsi="宋体" w:hint="eastAsia"/>
          <w:sz w:val="32"/>
          <w:szCs w:val="32"/>
          <w:lang w:eastAsia="zh-CN"/>
        </w:rPr>
        <w:t>培训</w:t>
      </w:r>
      <w:r>
        <w:rPr>
          <w:rFonts w:ascii="宋体" w:cs="Times New Roman" w:hAnsi="宋体" w:hint="eastAsia"/>
          <w:sz w:val="32"/>
          <w:szCs w:val="32"/>
          <w:lang w:val="en-US" w:eastAsia="zh-CN"/>
        </w:rPr>
        <w:t>以及</w:t>
      </w:r>
      <w:r>
        <w:rPr>
          <w:rFonts w:ascii="宋体" w:cs="Times New Roman" w:hAnsi="宋体" w:hint="eastAsia"/>
          <w:sz w:val="32"/>
          <w:szCs w:val="32"/>
          <w:lang w:eastAsia="zh-CN"/>
        </w:rPr>
        <w:t>区级以帮助学员学习政策、开阔视野、拓展思路、提升能力为目标</w:t>
      </w:r>
      <w:r>
        <w:rPr>
          <w:rFonts w:ascii="宋体" w:cs="Times New Roman" w:hAnsi="宋体" w:hint="eastAsia"/>
          <w:sz w:val="32"/>
          <w:szCs w:val="32"/>
          <w:lang w:val="en-US" w:eastAsia="zh-CN"/>
        </w:rPr>
        <w:t>开展的</w:t>
      </w:r>
      <w:r>
        <w:rPr>
          <w:rFonts w:ascii="宋体" w:cs="Times New Roman" w:hAnsi="宋体" w:hint="eastAsia"/>
          <w:sz w:val="32"/>
          <w:szCs w:val="32"/>
          <w:lang w:eastAsia="zh-CN"/>
        </w:rPr>
        <w:t>示范培训；</w:t>
      </w:r>
      <w:r>
        <w:rPr>
          <w:rFonts w:ascii="宋体" w:cs="Times New Roman" w:hAnsi="宋体" w:hint="eastAsia"/>
          <w:sz w:val="32"/>
          <w:szCs w:val="32"/>
          <w:lang w:val="en-US" w:eastAsia="zh-CN"/>
        </w:rPr>
        <w:t>专题培训主要侧重于</w:t>
      </w:r>
      <w:r>
        <w:rPr>
          <w:rFonts w:ascii="宋体" w:eastAsia="方正仿宋_GBK" w:cs="方正仿宋_GBK" w:hAnsi="宋体"/>
          <w:color w:val="000000"/>
          <w:kern w:val="0"/>
          <w:sz w:val="31"/>
          <w:szCs w:val="31"/>
          <w:lang w:val="en-US" w:eastAsia="zh-CN"/>
        </w:rPr>
        <w:t>整合市级资源</w:t>
      </w:r>
      <w:r>
        <w:rPr>
          <w:rFonts w:ascii="宋体" w:cs="方正仿宋_GBK" w:hAnsi="宋体" w:hint="eastAsia"/>
          <w:color w:val="000000"/>
          <w:kern w:val="0"/>
          <w:sz w:val="31"/>
          <w:szCs w:val="31"/>
          <w:lang w:val="en-US" w:eastAsia="zh-CN"/>
        </w:rPr>
        <w:t>，</w:t>
      </w:r>
      <w:r>
        <w:rPr>
          <w:rFonts w:ascii="宋体" w:eastAsia="方正仿宋_GBK" w:cs="方正仿宋_GBK" w:hAnsi="宋体" w:hint="eastAsia"/>
          <w:color w:val="000000"/>
          <w:kern w:val="0"/>
          <w:sz w:val="31"/>
          <w:szCs w:val="31"/>
          <w:lang w:val="en-US" w:eastAsia="zh-CN"/>
        </w:rPr>
        <w:t>围绕乡村产业振兴带头人</w:t>
      </w:r>
      <w:r>
        <w:rPr>
          <w:rFonts w:ascii="宋体" w:eastAsia="宋体" w:cs="Times New Roman"/>
          <w:color w:val="000000"/>
          <w:kern w:val="0"/>
          <w:sz w:val="31"/>
          <w:szCs w:val="31"/>
          <w:lang w:val="en-US" w:eastAsia="zh-CN"/>
        </w:rPr>
        <w:t>“</w:t>
      </w:r>
      <w:r>
        <w:rPr>
          <w:rFonts w:ascii="宋体" w:eastAsia="方正仿宋_GBK" w:cs="方正仿宋_GBK" w:hAnsi="宋体" w:hint="eastAsia"/>
          <w:color w:val="000000"/>
          <w:kern w:val="0"/>
          <w:sz w:val="31"/>
          <w:szCs w:val="31"/>
          <w:lang w:val="en-US" w:eastAsia="zh-CN"/>
        </w:rPr>
        <w:t>头雁</w:t>
      </w:r>
      <w:r>
        <w:rPr>
          <w:rFonts w:ascii="宋体" w:eastAsia="宋体" w:cs="Times New Roman"/>
          <w:color w:val="000000"/>
          <w:kern w:val="0"/>
          <w:sz w:val="31"/>
          <w:szCs w:val="31"/>
          <w:lang w:val="en-US" w:eastAsia="zh-CN"/>
        </w:rPr>
        <w:t>”</w:t>
      </w:r>
      <w:r>
        <w:rPr>
          <w:rFonts w:ascii="宋体" w:eastAsia="方正仿宋_GBK" w:cs="方正仿宋_GBK" w:hAnsi="宋体" w:hint="eastAsia"/>
          <w:color w:val="000000"/>
          <w:kern w:val="0"/>
          <w:sz w:val="31"/>
          <w:szCs w:val="31"/>
          <w:lang w:val="en-US" w:eastAsia="zh-CN"/>
        </w:rPr>
        <w:t xml:space="preserve">、农业经理人和农村集体经济经理人（乡村 </w:t>
      </w:r>
      <w:r>
        <w:rPr>
          <w:rFonts w:ascii="宋体" w:eastAsia="宋体" w:cs="Times New Roman"/>
          <w:color w:val="000000"/>
          <w:kern w:val="0"/>
          <w:sz w:val="31"/>
          <w:szCs w:val="31"/>
          <w:lang w:val="en-US" w:eastAsia="zh-CN"/>
        </w:rPr>
        <w:t>CEO</w:t>
      </w:r>
      <w:r>
        <w:rPr>
          <w:rFonts w:ascii="宋体" w:eastAsia="方正仿宋_GBK" w:cs="方正仿宋_GBK" w:hAnsi="宋体" w:hint="eastAsia"/>
          <w:color w:val="000000"/>
          <w:kern w:val="0"/>
          <w:sz w:val="31"/>
          <w:szCs w:val="31"/>
          <w:lang w:val="en-US" w:eastAsia="zh-CN"/>
        </w:rPr>
        <w:t>）</w:t>
      </w:r>
      <w:r>
        <w:rPr>
          <w:rFonts w:ascii="宋体" w:cs="方正仿宋_GBK" w:hAnsi="宋体" w:hint="eastAsia"/>
          <w:color w:val="000000"/>
          <w:kern w:val="0"/>
          <w:sz w:val="31"/>
          <w:szCs w:val="31"/>
          <w:lang w:val="en-US" w:eastAsia="zh-CN"/>
        </w:rPr>
        <w:t>、农机手技能提升、</w:t>
      </w:r>
      <w:r>
        <w:rPr>
          <w:rFonts w:ascii="宋体" w:cs="方正仿宋_GBK" w:hAnsi="宋体" w:hint="eastAsia"/>
          <w:bCs/>
          <w:color w:val="auto"/>
          <w:kern w:val="0"/>
          <w:lang w:val="en-US" w:eastAsia="zh-CN"/>
        </w:rPr>
        <w:t>数字化技能应用</w:t>
      </w:r>
      <w:r>
        <w:rPr>
          <w:rFonts w:ascii="宋体" w:eastAsia="方正仿宋_GBK" w:cs="方正仿宋_GBK" w:hAnsi="宋体" w:hint="eastAsia"/>
          <w:color w:val="000000"/>
          <w:kern w:val="0"/>
          <w:sz w:val="31"/>
          <w:szCs w:val="31"/>
          <w:lang w:val="en-US" w:eastAsia="zh-CN"/>
        </w:rPr>
        <w:t>等</w:t>
      </w:r>
      <w:r>
        <w:rPr>
          <w:rFonts w:ascii="宋体" w:eastAsia="方正仿宋_GBK" w:cs="方正仿宋_GBK" w:hAnsi="宋体"/>
          <w:color w:val="000000"/>
          <w:kern w:val="0"/>
          <w:sz w:val="31"/>
          <w:szCs w:val="31"/>
          <w:lang w:val="en-US" w:eastAsia="zh-CN"/>
        </w:rPr>
        <w:t>打造乡村产业振兴</w:t>
      </w:r>
      <w:r>
        <w:rPr>
          <w:rFonts w:ascii="宋体" w:cs="方正仿宋_GBK" w:hAnsi="宋体" w:hint="eastAsia"/>
          <w:color w:val="000000"/>
          <w:kern w:val="0"/>
          <w:sz w:val="31"/>
          <w:szCs w:val="31"/>
          <w:lang w:val="en-US" w:eastAsia="zh-CN"/>
        </w:rPr>
        <w:t>高端人才</w:t>
      </w:r>
      <w:r>
        <w:rPr>
          <w:rFonts w:ascii="宋体" w:eastAsia="方正仿宋_GBK" w:cs="方正仿宋_GBK" w:hAnsi="宋体" w:hint="eastAsia"/>
          <w:color w:val="000000"/>
          <w:kern w:val="0"/>
          <w:sz w:val="31"/>
          <w:szCs w:val="31"/>
          <w:lang w:val="en-US" w:eastAsia="zh-CN"/>
        </w:rPr>
        <w:t>队伍。</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eastAsia="方正仿宋_GBK" w:hAnsi="宋体" w:hint="eastAsia"/>
          <w:lang w:val="en-US" w:eastAsia="zh-CN"/>
        </w:rPr>
      </w:pPr>
      <w:r>
        <w:rPr>
          <w:rFonts w:ascii="宋体" w:eastAsia="方正楷体_GBK" w:cs="方正楷体_GBK" w:hAnsi="宋体" w:hint="eastAsia"/>
          <w:sz w:val="32"/>
          <w:szCs w:val="32"/>
          <w:lang w:val="en-US" w:eastAsia="zh-CN"/>
        </w:rPr>
        <w:t>二</w:t>
      </w:r>
      <w:r>
        <w:rPr>
          <w:rFonts w:ascii="宋体" w:eastAsia="方正楷体_GBK" w:cs="方正楷体_GBK" w:hAnsi="宋体" w:hint="eastAsia"/>
          <w:sz w:val="32"/>
          <w:szCs w:val="32"/>
          <w:lang w:eastAsia="zh-CN"/>
        </w:rPr>
        <w:t>是</w:t>
      </w:r>
      <w:r>
        <w:rPr>
          <w:rFonts w:ascii="宋体" w:cs="Times New Roman" w:hAnsi="宋体" w:hint="eastAsia"/>
          <w:sz w:val="32"/>
          <w:szCs w:val="32"/>
          <w:lang w:val="en-US" w:eastAsia="zh-CN"/>
        </w:rPr>
        <w:t>优化模块化课程设计和教学方法。</w:t>
      </w:r>
      <w:r>
        <w:rPr>
          <w:rFonts w:ascii="宋体" w:cs="Times New Roman" w:hAnsi="宋体" w:hint="eastAsia"/>
          <w:sz w:val="32"/>
          <w:szCs w:val="32"/>
          <w:lang w:eastAsia="zh-CN"/>
        </w:rPr>
        <w:t>在精准遴选培育对象的基础上根据农事时节分段教学，改大班为小班，原则上一个班次不超过50人。设置综合素养课、专业技能、能力拓展三类课程模块，其中综合素养课原则上按照总学时数的10%安排，专业技能课学时数应不低于总学时数的70%，能力拓展课不超过20%；要以实践教学、观摩交流为主，课堂教学为辅（原则上不超过总学时数的20%）；专业技能课采取实践教学的比例不低于专业技能课学时数的50%；即使是课堂教学，也要多采用案例教学、互动教学方式，提高学习兴趣和培育实效。</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eastAsia="方正楷体_GBK" w:cs="方正楷体_GBK" w:hAnsi="宋体" w:hint="eastAsia"/>
          <w:sz w:val="32"/>
          <w:szCs w:val="32"/>
          <w:lang w:val="en-US" w:eastAsia="zh-CN"/>
        </w:rPr>
      </w:pPr>
      <w:r>
        <w:rPr>
          <w:rFonts w:ascii="宋体" w:eastAsia="方正楷体_GBK" w:cs="方正楷体_GBK" w:hAnsi="宋体" w:hint="eastAsia"/>
          <w:sz w:val="32"/>
          <w:szCs w:val="32"/>
          <w:lang w:val="en-US" w:eastAsia="zh-CN"/>
        </w:rPr>
        <w:t>（四）加强培育过程监管。</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eastAsia="方正黑体简体" w:cs="方正黑体简体" w:hAnsi="宋体" w:hint="eastAsia"/>
          <w:bCs/>
          <w:color w:val="auto"/>
          <w:kern w:val="0"/>
          <w:lang w:val="en-US" w:eastAsia="zh-CN"/>
        </w:rPr>
      </w:pPr>
      <w:r>
        <w:rPr>
          <w:rFonts w:ascii="宋体" w:eastAsia="方正楷体_GBK" w:cs="方正楷体_GBK" w:hAnsi="宋体" w:hint="eastAsia"/>
          <w:bCs/>
          <w:color w:val="auto"/>
          <w:kern w:val="0"/>
          <w:lang w:val="en-US" w:eastAsia="zh-CN"/>
        </w:rPr>
        <w:t>一是</w:t>
      </w:r>
      <w:r>
        <w:rPr>
          <w:rFonts w:ascii="宋体" w:eastAsia="方正仿宋_GBK" w:cs="方正仿宋_GBK" w:hAnsi="宋体" w:hint="eastAsia"/>
          <w:bCs/>
          <w:color w:val="auto"/>
          <w:kern w:val="0"/>
          <w:lang w:val="en-US" w:eastAsia="zh-CN"/>
        </w:rPr>
        <w:t>实现关键环节提级审核</w:t>
      </w:r>
      <w:r>
        <w:rPr>
          <w:rFonts w:ascii="宋体" w:cs="方正仿宋_GBK" w:hAnsi="宋体" w:hint="eastAsia"/>
          <w:bCs/>
          <w:color w:val="auto"/>
          <w:kern w:val="0"/>
          <w:lang w:val="en-US" w:eastAsia="zh-CN"/>
        </w:rPr>
        <w:t>，</w:t>
      </w:r>
      <w:r>
        <w:rPr>
          <w:rFonts w:ascii="宋体" w:eastAsia="方正仿宋_GBK" w:cs="方正仿宋_GBK" w:hAnsi="宋体" w:hint="eastAsia"/>
          <w:bCs/>
          <w:color w:val="auto"/>
          <w:kern w:val="0"/>
          <w:lang w:val="en-US" w:eastAsia="zh-CN"/>
        </w:rPr>
        <w:t>将开班审核（含培训主题、课程设计、师资遴选）等关键环节提至市级层面，建立标准化审核清单。</w:t>
      </w:r>
      <w:r>
        <w:rPr>
          <w:rFonts w:ascii="宋体" w:eastAsia="方正楷体_GBK" w:cs="方正楷体_GBK" w:hAnsi="宋体" w:hint="eastAsia"/>
          <w:bCs/>
          <w:color w:val="auto"/>
          <w:kern w:val="0"/>
          <w:lang w:val="en-US" w:eastAsia="zh-CN"/>
        </w:rPr>
        <w:t>二是</w:t>
      </w:r>
      <w:r>
        <w:rPr>
          <w:rFonts w:ascii="宋体" w:eastAsia="方正仿宋_GBK" w:cs="方正仿宋_GBK" w:hAnsi="宋体" w:hint="eastAsia"/>
          <w:bCs/>
          <w:color w:val="auto"/>
          <w:kern w:val="0"/>
          <w:lang w:val="en-US" w:eastAsia="zh-CN"/>
        </w:rPr>
        <w:t>实时穿透式监管创新</w:t>
      </w:r>
      <w:r>
        <w:rPr>
          <w:rFonts w:ascii="宋体" w:cs="方正仿宋_GBK" w:hAnsi="宋体" w:hint="eastAsia"/>
          <w:bCs/>
          <w:color w:val="auto"/>
          <w:kern w:val="0"/>
          <w:lang w:val="en-US" w:eastAsia="zh-CN"/>
        </w:rPr>
        <w:t>，</w:t>
      </w:r>
      <w:r>
        <w:rPr>
          <w:rFonts w:ascii="宋体" w:eastAsia="方正仿宋_GBK" w:cs="方正仿宋_GBK" w:hAnsi="宋体" w:hint="eastAsia"/>
          <w:bCs/>
          <w:color w:val="auto"/>
          <w:kern w:val="0"/>
          <w:lang w:val="en-US" w:eastAsia="zh-CN"/>
        </w:rPr>
        <w:t>开发“班级连线”功能，构建实时动态监管场景，管理人员可通过应用远程抽查教学现场；改变办班结束后“统一评价”方式，每一堂课结束后同步收集学员对该门课程内容、授课方式等的反馈意见。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Chars="200" w:firstLine="640"/>
        <w:textAlignment w:val="auto"/>
        <w:rPr>
          <w:rFonts w:ascii="宋体" w:eastAsia="方正楷体_GBK" w:cs="方正楷体_GBK" w:hAnsi="宋体" w:hint="eastAsia"/>
          <w:sz w:val="32"/>
          <w:szCs w:val="32"/>
          <w:lang w:eastAsia="zh-CN"/>
        </w:rPr>
      </w:pPr>
      <w:r>
        <w:rPr>
          <w:rFonts w:ascii="宋体" w:eastAsia="方正楷体_GBK" w:cs="方正楷体_GBK" w:hAnsi="宋体" w:hint="eastAsia"/>
          <w:sz w:val="32"/>
          <w:szCs w:val="32"/>
          <w:lang w:eastAsia="zh-CN"/>
        </w:rPr>
        <w:t>开展培训</w:t>
      </w:r>
      <w:r>
        <w:rPr>
          <w:rFonts w:ascii="宋体" w:eastAsia="方正楷体_GBK" w:cs="方正楷体_GBK" w:hAnsi="宋体" w:hint="eastAsia"/>
          <w:sz w:val="32"/>
          <w:szCs w:val="32"/>
          <w:lang w:val="en-US" w:eastAsia="zh-CN"/>
        </w:rPr>
        <w:t>后续跟踪服务</w:t>
      </w:r>
      <w:r>
        <w:rPr>
          <w:rFonts w:ascii="宋体" w:eastAsia="方正楷体_GBK" w:cs="方正楷体_GBK" w:hAnsi="宋体"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宋体" w:cs="Times New Roman" w:hAnsi="宋体" w:hint="eastAsia"/>
          <w:sz w:val="32"/>
          <w:szCs w:val="32"/>
          <w:lang w:eastAsia="zh-CN"/>
        </w:rPr>
      </w:pPr>
      <w:r>
        <w:rPr>
          <w:rFonts w:ascii="宋体" w:cs="Times New Roman" w:hAnsi="宋体" w:hint="eastAsia"/>
          <w:sz w:val="32"/>
          <w:szCs w:val="32"/>
          <w:lang w:eastAsia="zh-CN"/>
        </w:rPr>
        <w:t>构建</w:t>
      </w:r>
      <w:r>
        <w:rPr>
          <w:rFonts w:ascii="宋体" w:eastAsia="方正仿宋_GBK" w:cs="Times New Roman" w:hAnsi="宋体" w:hint="eastAsia"/>
          <w:sz w:val="32"/>
          <w:szCs w:val="32"/>
          <w:lang w:eastAsia="zh-CN"/>
        </w:rPr>
        <w:t>长效跟踪服务机制，推动培训成果转化</w:t>
      </w:r>
      <w:r>
        <w:rPr>
          <w:rFonts w:ascii="宋体" w:cs="Times New Roman" w:hAnsi="宋体" w:hint="eastAsia"/>
          <w:sz w:val="32"/>
          <w:szCs w:val="32"/>
          <w:lang w:eastAsia="zh-CN"/>
        </w:rPr>
        <w:t>，组建由培训教师、技术专家、经营管理导师、土专家”“田秀才”等构成的多元化跟踪服务团队，为参训学员开展后续跟踪服务。服务方式包括可包括技术指导、政策对接、发展帮扶、组织交流互助、组织参加与培育主题相关的展会和技能竞赛等，跟踪服务时长原则上为1年，次数不少于2次，跟踪服务人数不少于培训班总人数的30%。</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both"/>
        <w:outlineLvl w:val="9"/>
        <w:rPr>
          <w:rFonts w:ascii="宋体" w:eastAsia="方正黑体_GBK" w:cs="方正黑体_GBK" w:hAnsi="宋体" w:hint="eastAsia"/>
          <w:bCs/>
          <w:kern w:val="0"/>
          <w:lang w:val="en-US" w:eastAsia="zh-CN"/>
        </w:rPr>
      </w:pPr>
      <w:r>
        <w:rPr>
          <w:rFonts w:ascii="宋体" w:eastAsia="黑体" w:cs="Times New Roman" w:hAnsi="宋体" w:hint="eastAsia"/>
          <w:sz w:val="32"/>
          <w:szCs w:val="32"/>
          <w:lang w:val="en-US" w:eastAsia="zh-CN"/>
        </w:rPr>
        <w:t>三</w:t>
      </w:r>
      <w:r>
        <w:rPr>
          <w:rFonts w:ascii="宋体" w:eastAsia="黑体" w:cs="Times New Roman" w:hAnsi="宋体"/>
          <w:sz w:val="32"/>
          <w:szCs w:val="32"/>
        </w:rPr>
        <w:t>、</w:t>
      </w:r>
      <w:r>
        <w:rPr>
          <w:rFonts w:ascii="宋体" w:eastAsia="方正黑体_GBK" w:cs="方正黑体_GBK" w:hAnsi="宋体" w:hint="eastAsia"/>
          <w:bCs/>
          <w:kern w:val="0"/>
          <w:lang w:val="en-US" w:eastAsia="zh-CN"/>
        </w:rPr>
        <w:t>项目资金及主要用途</w:t>
      </w:r>
    </w:p>
    <w:p>
      <w:pPr>
        <w:keepNext w:val="0"/>
        <w:keepLines w:val="0"/>
        <w:pageBreakBefore w:val="0"/>
        <w:widowControl w:val="0"/>
        <w:kinsoku/>
        <w:wordWrap/>
        <w:overflowPunct/>
        <w:topLinePunct w:val="0"/>
        <w:autoSpaceDE/>
        <w:autoSpaceDN/>
        <w:bidi w:val="0"/>
        <w:spacing w:line="560" w:lineRule="exact"/>
        <w:ind w:firstLineChars="200" w:firstLine="640"/>
        <w:rPr>
          <w:rFonts w:ascii="宋体" w:cs="方正仿宋_GBK" w:hAnsi="宋体" w:hint="eastAsia"/>
          <w:sz w:val="32"/>
          <w:szCs w:val="32"/>
          <w:lang w:eastAsia="zh-CN"/>
        </w:rPr>
      </w:pPr>
      <w:r>
        <w:rPr>
          <w:rFonts w:ascii="宋体" w:cs="方正仿宋_GBK" w:hAnsi="宋体" w:hint="eastAsia"/>
          <w:sz w:val="32"/>
          <w:szCs w:val="32"/>
          <w:lang w:val="en-US" w:eastAsia="zh-CN"/>
        </w:rPr>
        <w:t>2025年我区</w:t>
      </w:r>
      <w:r>
        <w:rPr>
          <w:rFonts w:ascii="宋体" w:cs="方正仿宋_GBK" w:hAnsi="宋体" w:hint="eastAsia"/>
          <w:sz w:val="32"/>
          <w:szCs w:val="32"/>
          <w:lang w:eastAsia="zh-CN"/>
        </w:rPr>
        <w:t>高素质农民培育资金总计</w:t>
      </w:r>
      <w:r>
        <w:rPr>
          <w:rFonts w:ascii="宋体" w:cs="方正仿宋_GBK" w:hAnsi="宋体" w:hint="eastAsia"/>
          <w:sz w:val="32"/>
          <w:szCs w:val="32"/>
          <w:lang w:val="en-US" w:eastAsia="zh-CN"/>
        </w:rPr>
        <w:t>343万元，其中常规培训资金121万，专题培训资金222万</w:t>
      </w:r>
      <w:r>
        <w:rPr>
          <w:rFonts w:ascii="宋体" w:cs="方正仿宋_GBK" w:hAnsi="宋体" w:hint="eastAsia"/>
          <w:sz w:val="32"/>
          <w:szCs w:val="32"/>
          <w:lang w:eastAsia="zh-CN"/>
        </w:rPr>
        <w:t>。资金主要用于支付高素质农民培育实施过程中的需求摸底、课堂教学、实践教学、交流观摩、跟踪服务、评价认定和总结验收等培育环节必需费用和验收费用。不得列支招投标费用、审计费用和第三方评估费用等应从“三公”经费支出的其他费用，不得给培育对象发放补助。培育费用可采取预拨、部分预拨、报账等方式支付，补助标准按照课堂每学时不超过40元/人</w:t>
      </w:r>
      <w:r>
        <w:rPr>
          <w:rFonts w:ascii="宋体" w:cs="方正仿宋_GBK" w:hAnsi="宋体" w:hint="eastAsia"/>
          <w:sz w:val="32"/>
          <w:szCs w:val="32"/>
          <w:lang w:val="en-US" w:eastAsia="zh-CN"/>
        </w:rPr>
        <w:t>。实践教学、</w:t>
      </w:r>
      <w:r>
        <w:rPr>
          <w:rFonts w:ascii="宋体" w:cs="方正仿宋_GBK" w:hAnsi="宋体" w:hint="eastAsia"/>
          <w:sz w:val="32"/>
          <w:szCs w:val="32"/>
          <w:lang w:eastAsia="zh-CN"/>
        </w:rPr>
        <w:t>需求调查与后续跟踪服务等按实际支出列支，其中，需求调查与后续跟踪服务原则上不得超过总培训费用的</w:t>
      </w:r>
      <w:r>
        <w:rPr>
          <w:rFonts w:ascii="宋体" w:cs="方正仿宋_GBK" w:hAnsi="宋体" w:hint="eastAsia"/>
          <w:sz w:val="32"/>
          <w:szCs w:val="32"/>
          <w:lang w:val="en-US" w:eastAsia="zh-CN"/>
        </w:rPr>
        <w:t>15%。</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left"/>
        <w:outlineLvl w:val="9"/>
        <w:rPr>
          <w:rFonts w:ascii="宋体" w:eastAsia="方正黑体_GBK" w:cs="方正黑体_GBK" w:hAnsi="宋体" w:hint="eastAsia"/>
          <w:lang w:val="en-US" w:eastAsia="zh-CN"/>
        </w:rPr>
      </w:pPr>
      <w:r>
        <w:rPr>
          <w:rFonts w:ascii="宋体" w:eastAsia="方正黑体_GBK" w:cs="方正黑体_GBK" w:hAnsi="宋体" w:hint="eastAsia"/>
          <w:lang w:val="en-US" w:eastAsia="zh-CN"/>
        </w:rPr>
        <w:t>四、保障措施</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both"/>
        <w:outlineLvl w:val="9"/>
        <w:rPr>
          <w:rFonts w:ascii="宋体" w:cs="宋体" w:hAnsi="宋体" w:hint="eastAsia"/>
          <w:kern w:val="0"/>
          <w:lang w:eastAsia="zh-CN"/>
        </w:rPr>
      </w:pPr>
      <w:r>
        <w:rPr>
          <w:rFonts w:ascii="宋体" w:eastAsia="方正楷体_GBK" w:hAnsi="宋体" w:hint="eastAsia"/>
          <w:sz w:val="32"/>
          <w:lang w:val="en-US" w:eastAsia="zh-CN"/>
        </w:rPr>
        <w:t>（一）加强组织领导。</w:t>
      </w:r>
      <w:r>
        <w:rPr>
          <w:rFonts w:ascii="宋体" w:hAnsi="宋体" w:hint="eastAsia"/>
          <w:sz w:val="32"/>
          <w:szCs w:val="32"/>
          <w:lang w:eastAsia="zh-CN"/>
        </w:rPr>
        <w:t>各镇街</w:t>
      </w:r>
      <w:r>
        <w:rPr>
          <w:rFonts w:ascii="宋体" w:hAnsi="宋体" w:hint="eastAsia"/>
          <w:sz w:val="32"/>
          <w:szCs w:val="32"/>
          <w:lang w:val="en-US" w:eastAsia="zh-CN"/>
        </w:rPr>
        <w:t>要把培育高素质农民作为服务支撑乡村全面振兴的重要举措和人才保障</w:t>
      </w:r>
      <w:r>
        <w:rPr>
          <w:rFonts w:ascii="宋体" w:eastAsia="方正楷体_GBK" w:hAnsi="宋体" w:hint="eastAsia"/>
          <w:sz w:val="32"/>
          <w:lang w:val="en-US" w:eastAsia="zh-CN"/>
        </w:rPr>
        <w:t>，</w:t>
      </w:r>
      <w:r>
        <w:rPr>
          <w:rFonts w:ascii="宋体" w:hAnsi="宋体"/>
          <w:sz w:val="32"/>
          <w:szCs w:val="32"/>
          <w:lang w:eastAsia="zh-CN"/>
        </w:rPr>
        <w:t>积极</w:t>
      </w:r>
      <w:r>
        <w:rPr>
          <w:rFonts w:ascii="宋体" w:hAnsi="宋体" w:hint="eastAsia"/>
          <w:sz w:val="32"/>
          <w:szCs w:val="32"/>
          <w:lang w:eastAsia="zh-CN"/>
        </w:rPr>
        <w:t>动员</w:t>
      </w:r>
      <w:r>
        <w:rPr>
          <w:rFonts w:ascii="宋体" w:hAnsi="宋体"/>
          <w:sz w:val="32"/>
          <w:szCs w:val="32"/>
          <w:lang w:eastAsia="zh-CN"/>
        </w:rPr>
        <w:t>辖区内农民群众参加各类培训，</w:t>
      </w:r>
      <w:r>
        <w:rPr>
          <w:rFonts w:ascii="宋体" w:hAnsi="宋体" w:hint="eastAsia"/>
          <w:sz w:val="32"/>
          <w:szCs w:val="32"/>
          <w:lang w:eastAsia="zh-CN"/>
        </w:rPr>
        <w:t>组织</w:t>
      </w:r>
      <w:r>
        <w:rPr>
          <w:rFonts w:ascii="宋体" w:hAnsi="宋体"/>
          <w:sz w:val="32"/>
          <w:szCs w:val="32"/>
          <w:lang w:eastAsia="zh-CN"/>
        </w:rPr>
        <w:t>实施好高素质农民培训</w:t>
      </w:r>
      <w:r>
        <w:rPr>
          <w:rFonts w:ascii="宋体" w:hAnsi="宋体" w:hint="eastAsia"/>
          <w:sz w:val="32"/>
          <w:szCs w:val="32"/>
          <w:lang w:eastAsia="zh-CN"/>
        </w:rPr>
        <w:t>工作；</w:t>
      </w:r>
      <w:r>
        <w:rPr>
          <w:rFonts w:ascii="宋体" w:hAnsi="宋体" w:hint="eastAsia"/>
          <w:sz w:val="32"/>
          <w:szCs w:val="32"/>
          <w:lang w:val="en-US" w:eastAsia="zh-CN"/>
        </w:rPr>
        <w:t>产业发展服务中心</w:t>
      </w:r>
      <w:r>
        <w:rPr>
          <w:rFonts w:ascii="宋体" w:hAnsi="宋体" w:hint="eastAsia"/>
          <w:sz w:val="32"/>
          <w:szCs w:val="32"/>
          <w:lang w:eastAsia="zh-CN"/>
        </w:rPr>
        <w:t>要在摸准培育对象的基础上结合实际确定培训班次、内容，遴选培训对象和授课教师。</w:t>
      </w:r>
    </w:p>
    <w:p>
      <w:pPr>
        <w:keepNext w:val="0"/>
        <w:keepLines w:val="0"/>
        <w:pageBreakBefore w:val="0"/>
        <w:widowControl w:val="0"/>
        <w:kinsoku/>
        <w:wordWrap/>
        <w:overflowPunct/>
        <w:topLinePunct w:val="0"/>
        <w:autoSpaceDE/>
        <w:autoSpaceDN/>
        <w:bidi w:val="0"/>
        <w:spacing w:line="560" w:lineRule="exact"/>
        <w:rPr>
          <w:rFonts w:ascii="宋体" w:eastAsia="方正仿宋_GBK" w:hAnsi="宋体" w:hint="eastAsia"/>
          <w:color w:val="auto"/>
          <w:sz w:val="32"/>
          <w:lang w:eastAsia="zh-CN"/>
        </w:rPr>
      </w:pPr>
      <w:r>
        <w:rPr>
          <w:rFonts w:ascii="宋体" w:eastAsia="方正楷体_GBK" w:hAnsi="宋体" w:hint="eastAsia"/>
          <w:color w:val="auto"/>
          <w:sz w:val="32"/>
          <w:lang w:eastAsia="zh-CN"/>
        </w:rPr>
        <w:t>（二）加强培育机构遴选</w:t>
      </w:r>
      <w:r>
        <w:rPr>
          <w:rFonts w:ascii="宋体" w:hAnsi="宋体" w:hint="eastAsia"/>
          <w:color w:val="auto"/>
          <w:sz w:val="32"/>
          <w:lang w:eastAsia="zh-CN"/>
        </w:rPr>
        <w:t>。</w:t>
      </w:r>
      <w:r>
        <w:rPr>
          <w:rFonts w:ascii="宋体" w:eastAsia="方正仿宋_GBK" w:hAnsi="宋体" w:hint="eastAsia"/>
          <w:color w:val="auto"/>
          <w:sz w:val="32"/>
          <w:lang w:eastAsia="zh-CN"/>
        </w:rPr>
        <w:t>可通过公开申报、专家评审、部门审定等程序，</w:t>
      </w:r>
      <w:r>
        <w:rPr>
          <w:rFonts w:ascii="宋体" w:hAnsi="宋体" w:hint="eastAsia"/>
          <w:color w:val="auto"/>
          <w:sz w:val="32"/>
          <w:lang w:val="en-US" w:eastAsia="zh-CN"/>
        </w:rPr>
        <w:t>将符合条件的机构纳入</w:t>
      </w:r>
      <w:r>
        <w:rPr>
          <w:rFonts w:ascii="宋体" w:eastAsia="方正仿宋_GBK" w:hAnsi="宋体" w:hint="eastAsia"/>
          <w:color w:val="auto"/>
          <w:sz w:val="32"/>
          <w:lang w:eastAsia="zh-CN"/>
        </w:rPr>
        <w:t>本级培育机构</w:t>
      </w:r>
      <w:r>
        <w:rPr>
          <w:rFonts w:ascii="宋体" w:hAnsi="宋体" w:hint="eastAsia"/>
          <w:color w:val="auto"/>
          <w:sz w:val="32"/>
          <w:lang w:val="en-US" w:eastAsia="zh-CN"/>
        </w:rPr>
        <w:t>库后，择优承担培训任务</w:t>
      </w:r>
      <w:r>
        <w:rPr>
          <w:rFonts w:ascii="宋体" w:eastAsia="方正仿宋_GBK" w:hAnsi="宋体" w:hint="eastAsia"/>
          <w:color w:val="auto"/>
          <w:sz w:val="32"/>
          <w:lang w:eastAsia="zh-CN"/>
        </w:rPr>
        <w:t>；通过政府采购形式遴选培育机构，应将《高素质农民培育规范（修订）》有关培育机构条件的内容纳入采购条件</w:t>
      </w:r>
      <w:r>
        <w:rPr>
          <w:rFonts w:ascii="宋体" w:hAnsi="宋体" w:hint="eastAsia"/>
          <w:color w:val="auto"/>
          <w:sz w:val="32"/>
          <w:lang w:eastAsia="zh-CN"/>
        </w:rPr>
        <w:t>。</w:t>
      </w:r>
      <w:r>
        <w:rPr>
          <w:rFonts w:ascii="宋体" w:eastAsia="方正仿宋_GBK" w:hAnsi="宋体" w:hint="eastAsia"/>
          <w:color w:val="auto"/>
          <w:sz w:val="32"/>
          <w:lang w:eastAsia="zh-CN"/>
        </w:rPr>
        <w:t>承担培育任务的培育机构经确定后，要按规定履行公开公示程序</w:t>
      </w:r>
      <w:r>
        <w:rPr>
          <w:rFonts w:ascii="宋体" w:hAnsi="宋体" w:hint="eastAsia"/>
          <w:color w:val="auto"/>
          <w:sz w:val="32"/>
          <w:lang w:eastAsia="zh-CN"/>
        </w:rPr>
        <w:t>，</w:t>
      </w:r>
      <w:r>
        <w:rPr>
          <w:rFonts w:ascii="宋体" w:hAnsi="宋体" w:hint="eastAsia"/>
          <w:color w:val="auto"/>
          <w:sz w:val="32"/>
          <w:lang w:val="en-US" w:eastAsia="zh-CN"/>
        </w:rPr>
        <w:t>并</w:t>
      </w:r>
      <w:r>
        <w:rPr>
          <w:rFonts w:ascii="宋体" w:eastAsia="方正仿宋_GBK" w:hAnsi="宋体" w:hint="eastAsia"/>
          <w:color w:val="auto"/>
          <w:sz w:val="32"/>
          <w:lang w:eastAsia="zh-CN"/>
        </w:rPr>
        <w:t>应与承担任务的培育机构签订合同或服务协议。</w:t>
      </w:r>
    </w:p>
    <w:p>
      <w:pPr>
        <w:keepNext w:val="0"/>
        <w:keepLines w:val="0"/>
        <w:pageBreakBefore w:val="0"/>
        <w:widowControl w:val="0"/>
        <w:kinsoku/>
        <w:wordWrap/>
        <w:overflowPunct/>
        <w:topLinePunct w:val="0"/>
        <w:autoSpaceDE/>
        <w:autoSpaceDN/>
        <w:bidi w:val="0"/>
        <w:spacing w:line="560" w:lineRule="exact"/>
        <w:rPr>
          <w:rFonts w:ascii="宋体" w:hAnsi="宋体" w:hint="eastAsia"/>
        </w:rPr>
      </w:pPr>
      <w:r>
        <w:rPr>
          <w:rFonts w:ascii="宋体" w:eastAsia="方正楷体_GBK" w:hAnsi="宋体" w:hint="eastAsia"/>
          <w:sz w:val="32"/>
          <w:lang w:eastAsia="zh-CN"/>
        </w:rPr>
        <w:t>（三）</w:t>
      </w:r>
      <w:r>
        <w:rPr>
          <w:rFonts w:ascii="宋体" w:eastAsia="方正楷体_GBK" w:hAnsi="宋体" w:hint="eastAsia"/>
          <w:sz w:val="32"/>
        </w:rPr>
        <w:t>加强</w:t>
      </w:r>
      <w:r>
        <w:rPr>
          <w:rFonts w:ascii="宋体" w:eastAsia="方正楷体_GBK" w:hAnsi="宋体" w:hint="eastAsia"/>
          <w:sz w:val="32"/>
          <w:lang w:eastAsia="zh-CN"/>
        </w:rPr>
        <w:t>工作监管。</w:t>
      </w:r>
      <w:r>
        <w:rPr>
          <w:rFonts w:ascii="宋体" w:eastAsia="方正仿宋_GBK" w:hAnsi="宋体" w:hint="eastAsia"/>
          <w:sz w:val="32"/>
          <w:lang w:eastAsia="zh-CN"/>
        </w:rPr>
        <w:t>高素质农民培育工作</w:t>
      </w:r>
      <w:r>
        <w:rPr>
          <w:rFonts w:ascii="宋体" w:eastAsia="方正仿宋_GBK" w:hAnsi="宋体" w:hint="eastAsia"/>
          <w:sz w:val="32"/>
          <w:lang w:val="en-US" w:eastAsia="zh-CN"/>
        </w:rPr>
        <w:t>行政主管</w:t>
      </w:r>
      <w:r>
        <w:rPr>
          <w:rFonts w:ascii="宋体" w:eastAsia="方正仿宋_GBK" w:hAnsi="宋体" w:hint="eastAsia"/>
          <w:sz w:val="32"/>
          <w:lang w:eastAsia="zh-CN"/>
        </w:rPr>
        <w:t>部门</w:t>
      </w:r>
      <w:r>
        <w:rPr>
          <w:rFonts w:ascii="宋体" w:eastAsia="方正仿宋_GBK" w:hAnsi="宋体" w:hint="eastAsia"/>
          <w:sz w:val="32"/>
          <w:lang w:val="en-US" w:eastAsia="zh-CN"/>
        </w:rPr>
        <w:t>要</w:t>
      </w:r>
      <w:r>
        <w:rPr>
          <w:rFonts w:ascii="宋体" w:eastAsia="方正仿宋_GBK" w:hAnsi="宋体" w:hint="eastAsia"/>
          <w:sz w:val="32"/>
          <w:lang w:eastAsia="zh-CN"/>
        </w:rPr>
        <w:t>按照《高素质农民培育项目管理工作规程（试行）》《高素质农</w:t>
      </w:r>
      <w:r>
        <w:rPr>
          <w:rFonts w:ascii="宋体" w:hAnsi="宋体" w:hint="eastAsia"/>
          <w:sz w:val="32"/>
          <w:szCs w:val="32"/>
          <w:lang w:eastAsia="zh-CN"/>
        </w:rPr>
        <w:t>民培育规范（修订）》要求，做好培训组织管理、指导监督工作</w:t>
      </w:r>
      <w:r>
        <w:rPr>
          <w:rFonts w:ascii="宋体" w:eastAsia="方正仿宋_GBK" w:hAnsi="宋体" w:hint="eastAsia"/>
          <w:sz w:val="32"/>
        </w:rPr>
        <w:t>。</w:t>
      </w:r>
      <w:r>
        <w:rPr>
          <w:rFonts w:ascii="宋体" w:eastAsia="方正仿宋_GBK" w:hAnsi="宋体" w:hint="eastAsia"/>
          <w:sz w:val="32"/>
          <w:lang w:eastAsia="zh-CN"/>
        </w:rPr>
        <w:t>各镇街按照属地管理原则做好辖区</w:t>
      </w:r>
      <w:r>
        <w:rPr>
          <w:rFonts w:ascii="宋体" w:hAnsi="宋体" w:hint="eastAsia"/>
          <w:sz w:val="32"/>
          <w:lang w:eastAsia="zh-CN"/>
        </w:rPr>
        <w:t>培训</w:t>
      </w:r>
      <w:r>
        <w:rPr>
          <w:rFonts w:ascii="宋体" w:eastAsia="方正仿宋_GBK" w:hAnsi="宋体" w:hint="eastAsia"/>
          <w:sz w:val="32"/>
        </w:rPr>
        <w:t>全程监管</w:t>
      </w:r>
      <w:r>
        <w:rPr>
          <w:rFonts w:ascii="宋体" w:eastAsia="方正仿宋_GBK" w:hAnsi="宋体" w:hint="eastAsia"/>
          <w:sz w:val="32"/>
          <w:lang w:eastAsia="zh-CN"/>
        </w:rPr>
        <w:t>，对发现的问题及时提出调整意见，必要时停班整改</w:t>
      </w:r>
      <w:r>
        <w:rPr>
          <w:rFonts w:ascii="宋体" w:eastAsia="方正仿宋_GBK" w:hAnsi="宋体" w:hint="eastAsia"/>
          <w:sz w:val="32"/>
          <w:lang w:val="en-US" w:eastAsia="zh-CN"/>
        </w:rPr>
        <w:t>并向行政主管部门报告</w:t>
      </w:r>
      <w:r>
        <w:rPr>
          <w:rFonts w:ascii="宋体" w:eastAsia="方正仿宋_GBK" w:hAnsi="宋体" w:hint="eastAsia"/>
          <w:sz w:val="32"/>
        </w:rPr>
        <w:t>。</w:t>
      </w:r>
      <w:r>
        <w:rPr>
          <w:rFonts w:ascii="宋体" w:eastAsia="方正仿宋_GBK" w:hAnsi="宋体" w:hint="eastAsia"/>
          <w:color w:val="auto"/>
          <w:sz w:val="32"/>
          <w:lang w:eastAsia="zh-CN"/>
        </w:rPr>
        <w:t>培育机构要加强信息录入及档案管理</w:t>
      </w:r>
      <w:r>
        <w:rPr>
          <w:rFonts w:ascii="宋体" w:hAnsi="宋体" w:hint="eastAsia"/>
          <w:color w:val="auto"/>
          <w:sz w:val="32"/>
          <w:lang w:eastAsia="zh-CN"/>
        </w:rPr>
        <w:t>，</w:t>
      </w:r>
      <w:r>
        <w:rPr>
          <w:rFonts w:ascii="宋体" w:eastAsia="方正仿宋_GBK" w:hAnsi="宋体" w:hint="eastAsia"/>
          <w:color w:val="auto"/>
          <w:sz w:val="32"/>
          <w:lang w:eastAsia="zh-CN"/>
        </w:rPr>
        <w:t>应将“一班一方案”、开班计划、培育对象信息、课程、师资、跟踪服务情况全部录入</w:t>
      </w:r>
      <w:r>
        <w:rPr>
          <w:rFonts w:ascii="宋体" w:eastAsia="方正仿宋_GBK" w:hAnsi="宋体" w:hint="eastAsia"/>
          <w:sz w:val="32"/>
          <w:lang w:eastAsia="zh-CN"/>
        </w:rPr>
        <w:t>农民教育培训信息管理系统，并同步到“巴渝新农人培育”应用。培育档案</w:t>
      </w:r>
      <w:r>
        <w:rPr>
          <w:rFonts w:ascii="宋体" w:hAnsi="宋体" w:hint="eastAsia"/>
          <w:sz w:val="32"/>
          <w:lang w:eastAsia="zh-CN"/>
        </w:rPr>
        <w:t>应</w:t>
      </w:r>
      <w:r>
        <w:rPr>
          <w:rFonts w:ascii="宋体" w:eastAsia="方正仿宋_GBK" w:hAnsi="宋体" w:hint="eastAsia"/>
          <w:sz w:val="32"/>
          <w:lang w:eastAsia="zh-CN"/>
        </w:rPr>
        <w:t>包括开班计划、培育对象信息、课程及考核结果记录、资金支出票据复印件、结业证书发放情况和其他必要培育信息</w:t>
      </w:r>
      <w:r>
        <w:rPr>
          <w:rFonts w:ascii="宋体" w:hAnsi="宋体" w:hint="eastAsia"/>
          <w:sz w:val="32"/>
          <w:lang w:eastAsia="zh-CN"/>
        </w:rPr>
        <w:t>，</w:t>
      </w:r>
      <w:r>
        <w:rPr>
          <w:rFonts w:ascii="宋体" w:eastAsia="方正仿宋_GBK" w:hAnsi="宋体" w:hint="eastAsia"/>
          <w:sz w:val="32"/>
          <w:lang w:eastAsia="zh-CN"/>
        </w:rPr>
        <w:t>培育档案至少保存5年。</w:t>
      </w:r>
    </w:p>
    <w:p>
      <w:pPr>
        <w:keepNext w:val="0"/>
        <w:keepLines w:val="0"/>
        <w:pageBreakBefore w:val="0"/>
        <w:widowControl w:val="0"/>
        <w:kinsoku/>
        <w:wordWrap/>
        <w:overflowPunct/>
        <w:topLinePunct w:val="0"/>
        <w:autoSpaceDE/>
        <w:autoSpaceDN/>
        <w:bidi w:val="0"/>
        <w:adjustRightInd/>
        <w:spacing w:line="570" w:lineRule="exact"/>
        <w:textAlignment w:val="auto"/>
        <w:rPr>
          <w:rFonts w:ascii="宋体" w:eastAsia="方正仿宋_GBK" w:cs="方正仿宋_GBK" w:hAnsi="宋体" w:hint="eastAsia"/>
          <w:sz w:val="32"/>
          <w:szCs w:val="32"/>
        </w:rPr>
      </w:pPr>
      <w:r>
        <w:rPr>
          <w:rFonts w:ascii="宋体" w:eastAsia="方正楷体_GBK" w:cs="方正楷体_GBK" w:hAnsi="宋体" w:hint="eastAsia"/>
          <w:sz w:val="32"/>
          <w:szCs w:val="32"/>
          <w:lang w:eastAsia="zh-CN"/>
        </w:rPr>
        <w:t>（四）</w:t>
      </w:r>
      <w:r>
        <w:rPr>
          <w:rFonts w:ascii="宋体" w:eastAsia="方正楷体_GBK" w:cs="方正楷体_GBK" w:hAnsi="宋体" w:hint="eastAsia"/>
          <w:sz w:val="32"/>
          <w:szCs w:val="32"/>
        </w:rPr>
        <w:t>做好项目绩效管理</w:t>
      </w:r>
      <w:r>
        <w:rPr>
          <w:rFonts w:ascii="宋体" w:cs="Times New Roman" w:hAnsi="宋体" w:hint="eastAsia"/>
          <w:sz w:val="32"/>
          <w:szCs w:val="32"/>
          <w:lang w:eastAsia="zh-CN"/>
        </w:rPr>
        <w:t>。各相关</w:t>
      </w:r>
      <w:r>
        <w:rPr>
          <w:rFonts w:ascii="宋体" w:eastAsia="方正仿宋_GBK" w:cs="Times New Roman" w:hAnsi="宋体"/>
          <w:sz w:val="32"/>
          <w:szCs w:val="32"/>
        </w:rPr>
        <w:t>部门要严格按照相关规定，切实担负起项目实施和资金使用管理的主体责任和监督责任，做好项目实施监管，坚决防止在项目执行过程中出现违规违纪违法行为。依托全国农民教育培训信息管理系统和“巴渝新农人培育”数字</w:t>
      </w:r>
      <w:r>
        <w:rPr>
          <w:rFonts w:ascii="宋体" w:eastAsia="方正仿宋_GBK" w:cs="方正仿宋_GBK" w:hAnsi="宋体" w:hint="eastAsia"/>
          <w:sz w:val="32"/>
          <w:szCs w:val="32"/>
        </w:rPr>
        <w:t>化应用做好培育全过程跟踪管理</w:t>
      </w:r>
      <w:r>
        <w:rPr>
          <w:rFonts w:ascii="宋体" w:eastAsia="方正仿宋_GBK" w:cs="方正仿宋_GBK" w:hAnsi="宋体" w:hint="eastAsia"/>
          <w:sz w:val="32"/>
          <w:szCs w:val="32"/>
          <w:lang w:eastAsia="zh-CN"/>
        </w:rPr>
        <w:t>；</w:t>
      </w:r>
      <w:r>
        <w:rPr>
          <w:rFonts w:ascii="宋体" w:eastAsia="方正仿宋_GBK" w:cs="方正仿宋_GBK" w:hAnsi="宋体" w:hint="eastAsia"/>
          <w:sz w:val="32"/>
          <w:szCs w:val="32"/>
        </w:rPr>
        <w:t>依托农业农村部转移支付管理平台做好预算执行进度管控和资金支出监管。</w:t>
      </w:r>
    </w:p>
    <w:p>
      <w:pPr>
        <w:keepNext w:val="0"/>
        <w:keepLines w:val="0"/>
        <w:pageBreakBefore w:val="0"/>
        <w:widowControl w:val="0"/>
        <w:kinsoku/>
        <w:wordWrap/>
        <w:overflowPunct/>
        <w:topLinePunct w:val="0"/>
        <w:autoSpaceDE/>
        <w:autoSpaceDN/>
        <w:bidi w:val="0"/>
        <w:adjustRightInd/>
        <w:snapToGrid w:val="0"/>
        <w:spacing w:line="570" w:lineRule="exact"/>
        <w:ind w:left="0" w:firstLineChars="200" w:firstLine="640"/>
        <w:jc w:val="both"/>
        <w:textAlignment w:val="auto"/>
        <w:outlineLvl w:val="9"/>
        <w:rPr>
          <w:rFonts w:ascii="宋体" w:eastAsia="方正仿宋_GBK" w:cs="方正仿宋_GBK" w:hAnsi="宋体" w:hint="eastAsia"/>
          <w:color w:val="000000"/>
          <w:kern w:val="0"/>
        </w:rPr>
      </w:pPr>
    </w:p>
    <w:p>
      <w:pPr>
        <w:keepNext w:val="0"/>
        <w:keepLines w:val="0"/>
        <w:pageBreakBefore w:val="0"/>
        <w:widowControl w:val="0"/>
        <w:kinsoku/>
        <w:wordWrap/>
        <w:overflowPunct/>
        <w:topLinePunct w:val="0"/>
        <w:autoSpaceDE/>
        <w:autoSpaceDN/>
        <w:bidi w:val="0"/>
        <w:spacing w:line="560" w:lineRule="exact"/>
        <w:rPr>
          <w:rFonts w:ascii="宋体" w:eastAsia="方正楷体_GBK" w:hAnsi="宋体" w:hint="eastAsia"/>
          <w:sz w:val="32"/>
          <w:lang w:eastAsia="zh-CN"/>
        </w:rPr>
      </w:pPr>
      <w:r>
        <w:rPr>
          <w:rFonts w:ascii="宋体" w:eastAsia="方正仿宋_GBK" w:cs="方正仿宋_GBK" w:hAnsi="宋体" w:hint="eastAsia"/>
          <w:b w:val="0"/>
          <w:bCs w:val="0"/>
          <w:kern w:val="0"/>
          <w:lang w:val="en-US" w:eastAsia="zh-CN"/>
        </w:rPr>
        <w:t>附件：2025江津区高素质培育办班计划及资金预算</w:t>
      </w:r>
      <w:r>
        <w:rPr>
          <w:rFonts w:ascii="宋体" w:cs="方正仿宋_GBK" w:hAnsi="宋体" w:hint="eastAsia"/>
          <w:b w:val="0"/>
          <w:bCs w:val="0"/>
          <w:kern w:val="0"/>
          <w:lang w:val="en-US" w:eastAsia="zh-CN"/>
        </w:rPr>
        <w:t>表</w:t>
      </w:r>
    </w:p>
    <w:p>
      <w:pPr>
        <w:keepNext w:val="0"/>
        <w:keepLines w:val="0"/>
        <w:pageBreakBefore w:val="0"/>
        <w:widowControl w:val="0"/>
        <w:kinsoku/>
        <w:wordWrap/>
        <w:overflowPunct/>
        <w:topLinePunct w:val="0"/>
        <w:autoSpaceDE/>
        <w:autoSpaceDN/>
        <w:bidi w:val="0"/>
        <w:snapToGrid w:val="0"/>
        <w:spacing w:line="560" w:lineRule="exact"/>
        <w:ind w:left="0" w:firstLineChars="200" w:firstLine="640"/>
        <w:jc w:val="both"/>
        <w:outlineLvl w:val="9"/>
        <w:rPr>
          <w:rFonts w:ascii="宋体" w:cs="宋体" w:hAnsi="宋体" w:hint="eastAsia"/>
          <w:color w:val="000000"/>
          <w:kern w:val="0"/>
        </w:rPr>
      </w:pPr>
    </w:p>
    <w:p>
      <w:pPr>
        <w:keepNext w:val="0"/>
        <w:keepLines w:val="0"/>
        <w:pageBreakBefore w:val="0"/>
        <w:widowControl w:val="0"/>
        <w:kinsoku/>
        <w:wordWrap/>
        <w:overflowPunct/>
        <w:topLinePunct w:val="0"/>
        <w:autoSpaceDE/>
        <w:autoSpaceDN/>
        <w:bidi w:val="0"/>
        <w:adjustRightInd/>
        <w:snapToGrid/>
        <w:spacing w:line="480" w:lineRule="exact"/>
        <w:ind w:left="0" w:firstLineChars="0" w:firstLine="0"/>
        <w:jc w:val="both"/>
        <w:textAlignment w:val="auto"/>
        <w:rPr>
          <w:rFonts w:ascii="方正黑体_GBK" w:eastAsia="方正黑体_GBK" w:cs="方正黑体_GBK" w:hint="eastAsia"/>
          <w:sz w:val="32"/>
          <w:szCs w:val="32"/>
          <w:lang w:val="en-US" w:eastAsia="zh-CN"/>
        </w:rPr>
        <w:sectPr>
          <w:footerReference w:type="default" r:id="rId3"/>
          <w:footerReference w:type="even" r:id="rId4"/>
          <w:pgSz w:w="11906" w:h="16838"/>
          <w:pgMar w:top="2098" w:right="1474" w:bottom="1984" w:left="1588" w:header="851" w:footer="1474" w:gutter="0"/>
          <w:pgNumType/>
          <w:docGrid w:type="lines" w:linePitch="435" w:charSpace="0"/>
        </w:sectPr>
      </w:pPr>
    </w:p>
    <w:p>
      <w:pPr>
        <w:keepNext w:val="0"/>
        <w:keepLines w:val="0"/>
        <w:pageBreakBefore w:val="0"/>
        <w:widowControl w:val="0"/>
        <w:kinsoku/>
        <w:wordWrap/>
        <w:overflowPunct/>
        <w:topLinePunct w:val="0"/>
        <w:autoSpaceDE/>
        <w:autoSpaceDN/>
        <w:bidi w:val="0"/>
        <w:adjustRightInd/>
        <w:snapToGrid/>
        <w:spacing w:line="480" w:lineRule="exact"/>
        <w:ind w:left="0" w:firstLineChars="0" w:firstLine="0"/>
        <w:jc w:val="both"/>
        <w:textAlignment w:val="auto"/>
        <w:rPr>
          <w:rFonts w:ascii="方正黑体_GBK" w:eastAsia="方正黑体_GBK" w:cs="方正黑体_GBK" w:hint="eastAsia"/>
          <w:lang w:val="en-US" w:eastAsia="zh-CN"/>
        </w:rPr>
      </w:pPr>
      <w:r>
        <w:rPr>
          <w:rFonts w:ascii="方正黑体_GBK" w:eastAsia="方正黑体_GBK" w:cs="方正黑体_GBK" w:hint="eastAsia"/>
          <w:sz w:val="32"/>
          <w:szCs w:val="32"/>
          <w:lang w:val="en-US" w:eastAsia="zh-CN"/>
        </w:rPr>
        <w:t>附件</w:t>
      </w:r>
    </w:p>
    <w:tbl>
      <w:tblPr>
        <w:jc w:val="center"/>
        <w:tblW w:w="969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853"/>
        <w:gridCol w:w="890"/>
        <w:gridCol w:w="1894"/>
        <w:gridCol w:w="1050"/>
        <w:gridCol w:w="656"/>
        <w:gridCol w:w="733"/>
        <w:gridCol w:w="659"/>
        <w:gridCol w:w="1192"/>
        <w:gridCol w:w="1061"/>
        <w:gridCol w:w="706"/>
      </w:tblGrid>
      <w:tr>
        <w:trPr>
          <w:trHeight w:val="740"/>
        </w:trPr>
        <w:tc>
          <w:tcPr>
            <w:tcW w:w="9694"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方正小标宋_GBK" w:eastAsia="方正小标宋_GBK" w:cs="方正小标宋_GBK"/>
                <w:i w:val="0"/>
                <w:color w:val="000000"/>
                <w:sz w:val="32"/>
                <w:szCs w:val="32"/>
                <w:u w:val="none"/>
              </w:rPr>
            </w:pPr>
            <w:r>
              <w:rPr>
                <w:rFonts w:ascii="方正小标宋_GBK" w:eastAsia="方正小标宋_GBK" w:cs="方正小标宋_GBK" w:hint="eastAsia"/>
                <w:i w:val="0"/>
                <w:color w:val="000000"/>
                <w:kern w:val="0"/>
                <w:sz w:val="32"/>
                <w:szCs w:val="32"/>
                <w:u w:val="none"/>
                <w:lang w:val="en-US" w:eastAsia="zh-CN"/>
              </w:rPr>
              <w:t>2025江津区高素质培育办班计划及资金预算表</w:t>
            </w:r>
          </w:p>
        </w:tc>
      </w:tr>
      <w:tr>
        <w:trPr>
          <w:trHeight w:val="400"/>
        </w:trPr>
        <w:tc>
          <w:tcPr>
            <w:tcW w:w="85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培育任务名称</w:t>
            </w:r>
          </w:p>
        </w:tc>
        <w:tc>
          <w:tcPr>
            <w:tcW w:w="89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kern w:val="0"/>
                <w:sz w:val="22"/>
                <w:szCs w:val="22"/>
                <w:u w:val="none"/>
                <w:lang w:val="en-US" w:eastAsia="zh-CN"/>
              </w:rPr>
            </w:pPr>
            <w:r>
              <w:rPr>
                <w:rFonts w:ascii="方正黑体_GBK" w:eastAsia="方正黑体_GBK" w:cs="方正黑体_GBK" w:hint="eastAsia"/>
                <w:i w:val="0"/>
                <w:color w:val="000000"/>
                <w:kern w:val="0"/>
                <w:sz w:val="22"/>
                <w:szCs w:val="22"/>
                <w:u w:val="none"/>
                <w:lang w:val="en-US" w:eastAsia="zh-CN"/>
              </w:rPr>
              <w:t>序号</w:t>
            </w:r>
          </w:p>
        </w:tc>
        <w:tc>
          <w:tcPr>
            <w:tcW w:w="1894"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班级名称</w:t>
            </w:r>
          </w:p>
        </w:tc>
        <w:tc>
          <w:tcPr>
            <w:tcW w:w="105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培训单位</w:t>
            </w:r>
          </w:p>
        </w:tc>
        <w:tc>
          <w:tcPr>
            <w:tcW w:w="656"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产业工种</w:t>
            </w:r>
          </w:p>
        </w:tc>
        <w:tc>
          <w:tcPr>
            <w:tcW w:w="73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培训人数（人）</w:t>
            </w:r>
          </w:p>
        </w:tc>
        <w:tc>
          <w:tcPr>
            <w:tcW w:w="65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培训学时</w:t>
            </w:r>
          </w:p>
        </w:tc>
        <w:tc>
          <w:tcPr>
            <w:tcW w:w="295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市级下达资金（万元）</w:t>
            </w:r>
          </w:p>
        </w:tc>
      </w:tr>
      <w:tr>
        <w:trPr>
          <w:trHeight w:val="450"/>
        </w:trPr>
        <w:tc>
          <w:tcPr>
            <w:tcW w:w="85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894"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05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56"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73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65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kern w:val="0"/>
                <w:sz w:val="22"/>
                <w:szCs w:val="22"/>
                <w:u w:val="none"/>
                <w:lang w:val="en-US" w:eastAsia="zh-CN"/>
              </w:rPr>
            </w:pPr>
            <w:r>
              <w:rPr>
                <w:rFonts w:ascii="方正黑体_GBK" w:eastAsia="方正黑体_GBK" w:cs="方正黑体_GBK" w:hint="eastAsia"/>
                <w:i w:val="0"/>
                <w:color w:val="000000"/>
                <w:kern w:val="0"/>
                <w:sz w:val="22"/>
                <w:szCs w:val="22"/>
                <w:u w:val="none"/>
                <w:lang w:val="en-US" w:eastAsia="zh-CN"/>
              </w:rPr>
              <w:t>培训资金</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kern w:val="0"/>
                <w:sz w:val="22"/>
                <w:szCs w:val="22"/>
                <w:u w:val="none"/>
                <w:lang w:val="en-US" w:eastAsia="zh-CN"/>
              </w:rPr>
            </w:pPr>
            <w:r>
              <w:rPr>
                <w:rFonts w:ascii="方正黑体_GBK" w:eastAsia="方正黑体_GBK" w:cs="方正黑体_GBK" w:hint="eastAsia"/>
                <w:i w:val="0"/>
                <w:color w:val="000000"/>
                <w:kern w:val="0"/>
                <w:sz w:val="22"/>
                <w:szCs w:val="22"/>
                <w:u w:val="none"/>
                <w:lang w:val="en-US" w:eastAsia="zh-CN"/>
              </w:rPr>
              <w:t>需求调查和跟踪服务资金</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kern w:val="0"/>
                <w:sz w:val="22"/>
                <w:szCs w:val="22"/>
                <w:u w:val="none"/>
                <w:lang w:val="en-US" w:eastAsia="zh-CN"/>
              </w:rPr>
            </w:pPr>
            <w:r>
              <w:rPr>
                <w:rFonts w:ascii="方正黑体_GBK" w:eastAsia="方正黑体_GBK" w:cs="方正黑体_GBK" w:hint="eastAsia"/>
                <w:i w:val="0"/>
                <w:color w:val="000000"/>
                <w:kern w:val="0"/>
                <w:sz w:val="22"/>
                <w:szCs w:val="22"/>
                <w:u w:val="none"/>
                <w:lang w:val="en-US" w:eastAsia="zh-CN"/>
              </w:rPr>
              <w:t>资金小计</w:t>
            </w:r>
          </w:p>
        </w:tc>
      </w:tr>
      <w:tr>
        <w:trPr>
          <w:trHeight w:val="810"/>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高素质农民培育常规任务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2025江津区“乡村CEO”高素质农民培训班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江津区农业科教信息中心、江津区乡村人才创新创业学院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“乡村CEO”</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88</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2.9</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2025江津区水稻种植高素质农民培训班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江津区石蟆镇产业发展服务中心</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水稻</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88</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20.1</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2025江津区“土特产”（橄榄）生产经营高素质农民培训班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江津区石蟆镇产业发展服务中心</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橄榄</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88</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20.1</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4</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2025江津区“土特产”（中药材-江津枳壳）生产经营高素质农民培训班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江津区柏林镇产业发展服务中心</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中药材</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88</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20.1</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2025江津区土特产（柑橘）生产经营高素质农民培训班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江津区夏坝镇产业发展服务中心</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柑橘</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88</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20.1</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6</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2025江津区土特产（畜牧）生产经营高素质农民培训班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江津区石门镇产业发展服务中心</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畜牧</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88</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20.1</w:t>
            </w:r>
          </w:p>
        </w:tc>
      </w:tr>
      <w:tr>
        <w:trPr>
          <w:trHeight w:val="27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49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常规任务合计</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300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both"/>
              <w:rPr>
                <w:rFonts w:ascii="方正黑体_GBK" w:eastAsia="方正黑体_GBK" w:cs="方正黑体_GBK" w:hint="eastAsia"/>
                <w:i w:val="0"/>
                <w:color w:val="000000"/>
                <w:sz w:val="22"/>
                <w:szCs w:val="22"/>
                <w:u w:val="none"/>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105.6</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15.4</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121</w:t>
            </w:r>
          </w:p>
        </w:tc>
      </w:tr>
      <w:tr>
        <w:trPr>
          <w:trHeight w:val="1080"/>
        </w:trPr>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高素质农民培育专题任务</w:t>
            </w: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2025江津区粮油作物高质量机播（拖拉机、插秧机）高素质农民培训班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重庆市农业科学院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农机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2025江津区粮油作物高质量机播（拖拉机、插秧机）高素质农民培训班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重庆市农业科学院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农机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2025江津区粮油作物高质量机播（拖拉机、插秧机）高素质农民培训班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重庆市农业科学院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农机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81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4</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2025江津区机收减损暨农机安全生产高素质农民培训班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重庆市农业科学院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农机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81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2025江津区机收减损暨农机安全生产高素质农民培训班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重庆市农业科学院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农机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81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6</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2025江津区机收减损暨农机安全生产高素质农民培训班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重庆市农业科学院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农机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7</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2025江津区无人机农业场景应用专题高素质农民培训班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重庆市江津区星火职业培训学校</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无人机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2025江津区无人机农业场景应用专题高素质农民培训班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重庆市江津区星火职业培训学校</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无人机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9</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2025江津区无人机农业场景应用专题高素质农民培训班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重庆市江津区星火职业培训学校</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无人机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10</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2025江津区无人机农业场景应用专题高素质农民培训班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重庆市江津区星火职业培训学校</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无人机</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17.425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3.075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20.5</w:t>
            </w:r>
          </w:p>
        </w:tc>
      </w:tr>
      <w:tr>
        <w:trPr>
          <w:trHeight w:val="108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11</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2025江津区新型经营主体数字化技能应用能力提升专题高素质农民培训班</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重庆市江津区金山职业培训学校</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乡村网红</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32</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90</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14.45</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2.55</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w:t>
            </w:r>
          </w:p>
        </w:tc>
      </w:tr>
      <w:tr>
        <w:trPr>
          <w:trHeight w:val="470"/>
        </w:trPr>
        <w:tc>
          <w:tcPr>
            <w:tcW w:w="85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tc>
        <w:tc>
          <w:tcPr>
            <w:tcW w:w="449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专题任务合计</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332</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方正黑体_GBK" w:eastAsia="方正黑体_GBK" w:cs="方正黑体_GBK" w:hint="eastAsia"/>
                <w:i w:val="0"/>
                <w:color w:val="000000"/>
                <w:sz w:val="22"/>
                <w:szCs w:val="22"/>
                <w:u w:val="none"/>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188.7</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33.3</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222</w:t>
            </w:r>
          </w:p>
        </w:tc>
      </w:tr>
      <w:tr>
        <w:trPr>
          <w:trHeight w:val="495"/>
        </w:trPr>
        <w:tc>
          <w:tcPr>
            <w:tcW w:w="5343"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总计</w:t>
            </w:r>
          </w:p>
        </w:tc>
        <w:tc>
          <w:tcPr>
            <w:tcW w:w="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632</w:t>
            </w:r>
          </w:p>
        </w:tc>
        <w:tc>
          <w:tcPr>
            <w:tcW w:w="6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ascii="方正黑体_GBK" w:eastAsia="方正黑体_GBK" w:cs="方正黑体_GBK" w:hint="eastAsia"/>
                <w:i w:val="0"/>
                <w:color w:val="000000"/>
                <w:sz w:val="22"/>
                <w:szCs w:val="22"/>
                <w:u w:val="none"/>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294.3</w:t>
            </w:r>
          </w:p>
        </w:tc>
        <w:tc>
          <w:tcPr>
            <w:tcW w:w="10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48.7</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firstLineChars="0" w:firstLine="0"/>
              <w:jc w:val="center"/>
              <w:textAlignment w:val="center"/>
              <w:rPr>
                <w:rFonts w:ascii="方正黑体_GBK" w:eastAsia="方正黑体_GBK" w:cs="方正黑体_GBK" w:hint="eastAsia"/>
                <w:i w:val="0"/>
                <w:color w:val="000000"/>
                <w:sz w:val="22"/>
                <w:szCs w:val="22"/>
                <w:u w:val="none"/>
              </w:rPr>
            </w:pPr>
            <w:r>
              <w:rPr>
                <w:rFonts w:ascii="方正黑体_GBK" w:eastAsia="方正黑体_GBK" w:cs="方正黑体_GBK" w:hint="eastAsia"/>
                <w:i w:val="0"/>
                <w:color w:val="000000"/>
                <w:kern w:val="0"/>
                <w:sz w:val="22"/>
                <w:szCs w:val="22"/>
                <w:u w:val="none"/>
                <w:lang w:val="en-US" w:eastAsia="zh-CN"/>
              </w:rPr>
              <w:t>343</w:t>
            </w:r>
          </w:p>
        </w:tc>
      </w:tr>
    </w:tbl>
    <w:p>
      <w:pPr>
        <w:keepNext w:val="0"/>
        <w:keepLines w:val="0"/>
        <w:pageBreakBefore w:val="0"/>
        <w:widowControl w:val="0"/>
        <w:kinsoku/>
        <w:wordWrap/>
        <w:overflowPunct/>
        <w:topLinePunct w:val="0"/>
        <w:autoSpaceDE/>
        <w:autoSpaceDN/>
        <w:bidi w:val="0"/>
        <w:adjustRightInd/>
        <w:snapToGrid/>
        <w:spacing w:line="300" w:lineRule="exact"/>
        <w:ind w:firstLineChars="0" w:firstLine="0"/>
        <w:textAlignment w:val="auto"/>
        <w:rPr>
          <w:rFonts w:ascii="宋体" w:hAnsi="宋体" w:hint="eastAsia"/>
          <w:lang w:val="en-US" w:eastAsia="zh-CN"/>
        </w:rPr>
      </w:pPr>
    </w:p>
    <w:sectPr>
      <w:headerReference w:type="default" r:id="rId5"/>
      <w:footerReference w:type="default" r:id="rId6"/>
      <w:footerReference w:type="even" r:id="rId7"/>
      <w:pgSz w:w="11906" w:h="16838"/>
      <w:pgMar w:top="2098" w:right="1474" w:bottom="1984" w:left="1587" w:header="851" w:footer="1474"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2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86"/>
    <w:family w:val="auto"/>
    <w:pitch w:val="variable"/>
    <w:sig w:usb0="E0002EFF" w:usb1="C000785B" w:usb2="00000009" w:usb3="00000000" w:csb0="400001FF" w:csb1="FFFF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方正黑体简体">
    <w:altName w:val="Microsoft YaHei UI"/>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lear" w:pos="4153"/>
        <w:tab w:val="left" w:pos="6624"/>
        <w:tab w:val="right" w:pos="8306"/>
      </w:tabs>
    </w:pPr>
    <w:r>
      <w:rPr>
        <w:rFonts w:hint="eastAsia"/>
        <w:lang w:eastAsia="zh-CN"/>
      </w:rPr>
      <w:tab/>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lear" w:pos="4153"/>
        <w:tab w:val="left" w:pos="6624"/>
        <w:tab w:val="right" w:pos="8306"/>
      </w:tabs>
    </w:pPr>
    <w:r>
      <w:rPr>
        <w:sz w:val="18"/>
      </w:rPr>
      <mc:AlternateContent>
        <mc:Choice Requires="wps">
          <w:drawing>
            <wp:anchor distT="0" distB="0" distL="114298" distR="114298" simplePos="0" relativeHeight="19" behindDoc="0" locked="0" layoutInCell="1" hidden="0" allowOverlap="1">
              <wp:simplePos x="0" y="0"/>
              <wp:positionH relativeFrom="margin">
                <wp:align>outside</wp:align>
              </wp:positionH>
              <wp:positionV relativeFrom="paragraph">
                <wp:posOffset>0</wp:posOffset>
              </wp:positionV>
              <wp:extent cx="1383589" cy="381000"/>
              <wp:effectExtent l="0" t="0" r="0" b="0"/>
              <wp:wrapNone/>
              <wp:docPr id="6" name="文本框 6"/>
              <wp:cNvGraphicFramePr>
                <a:graphicFrameLocks noChangeAspect="0"/>
              </wp:cNvGraphicFramePr>
              <a:graphic>
                <a:graphicData uri="http://schemas.microsoft.com/office/word/2010/wordprocessingShape">
                  <wps:wsp>
                    <wps:cNvSpPr/>
                    <wps:spPr>
                      <a:xfrm rot="0">
                        <a:off x="0" y="0"/>
                        <a:ext cx="1383589" cy="381000"/>
                      </a:xfrm>
                      <a:prstGeom prst="rect"/>
                      <a:noFill/>
                      <a:ln w="6350" cmpd="sng" cap="flat">
                        <a:noFill/>
                        <a:prstDash val="solid"/>
                        <a:round/>
                      </a:ln>
                    </wps:spPr>
                    <wps:txbx id="7">
                      <w:txbxContent>
                        <w:p>
                          <w:pPr>
                            <w:pStyle w:val="18"/>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00" w:left="320" w:rightChars="100" w:right="320"/>
                            <w:textAlignment w:val="auto"/>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3</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8" o:spid="_x0000_s8" filled="f" stroked="f" strokeweight="0.5pt" style="position:absolute;margin-left:0.0pt;margin-top:0.0pt;width:108.944016pt;height:30.0pt;z-index:19;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8"/>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00" w:left="320" w:rightChars="100" w:right="320"/>
                      <w:textAlignment w:val="auto"/>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3</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v:textbox>
            </v:shape>
          </w:pict>
        </mc:Fallback>
      </mc:AlternateContent>
    </w:r>
    <w:r>
      <w:rPr>
        <w:rFonts w:hint="eastAsia"/>
        <w:lang w:eastAsia="zh-CN"/>
      </w:rPr>
      <w:tab/>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enter" w:pos="4153"/>
        <w:tab w:val="right" w:pos="8306"/>
      </w:tabs>
    </w:pPr>
    <w:r>
      <w:rPr>
        <w:sz w:val="18"/>
      </w:rPr>
      <mc:AlternateContent>
        <mc:Choice Requires="wps">
          <w:drawing>
            <wp:anchor distT="0" distB="0" distL="114298" distR="114298" simplePos="0" relativeHeight="20" behindDoc="0" locked="0" layoutInCell="1" hidden="0" allowOverlap="1">
              <wp:simplePos x="0" y="0"/>
              <wp:positionH relativeFrom="margin">
                <wp:align>outside</wp:align>
              </wp:positionH>
              <wp:positionV relativeFrom="paragraph">
                <wp:posOffset>0</wp:posOffset>
              </wp:positionV>
              <wp:extent cx="977188" cy="381000"/>
              <wp:effectExtent l="0" t="0" r="0" b="0"/>
              <wp:wrapNone/>
              <wp:docPr id="9" name="文本框 9"/>
              <wp:cNvGraphicFramePr>
                <a:graphicFrameLocks noChangeAspect="0"/>
              </wp:cNvGraphicFramePr>
              <a:graphic>
                <a:graphicData uri="http://schemas.microsoft.com/office/word/2010/wordprocessingShape">
                  <wps:wsp>
                    <wps:cNvSpPr/>
                    <wps:spPr>
                      <a:xfrm rot="0">
                        <a:off x="0" y="0"/>
                        <a:ext cx="977188" cy="381000"/>
                      </a:xfrm>
                      <a:prstGeom prst="rect"/>
                      <a:noFill/>
                      <a:ln w="6350" cmpd="sng" cap="flat">
                        <a:noFill/>
                        <a:prstDash val="solid"/>
                        <a:round/>
                      </a:ln>
                    </wps:spPr>
                    <wps:txbx id="10">
                      <w:txbxContent>
                        <w:p>
                          <w:pPr>
                            <w:pStyle w:val="18"/>
                            <w:tabs>
                              <w:tab w:val="center" w:pos="4153"/>
                              <w:tab w:val="right" w:pos="8306"/>
                            </w:tabs>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2</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1" o:spid="_x0000_s11" filled="f" stroked="f" strokeweight="0.5pt" style="position:absolute;margin-left:0.0pt;margin-top:0.0pt;width:76.944pt;height:30.0pt;z-index:20;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2</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kinsoku w:val="0"/>
      <w:autoSpaceDE w:val="0"/>
      <w:autoSpaceDN w:val="0"/>
      <w:adjustRightInd w:val="0"/>
      <w:snapToGrid w:val="0"/>
      <w:spacing w:line="14" w:lineRule="auto"/>
      <w:textAlignment w:val="baseline"/>
      <w:rPr>
        <w:rFonts w:ascii="宋体" w:eastAsia="宋体" w:cs="宋体"/>
        <w:snapToGrid w:val="0"/>
        <w:color w:val="000000"/>
        <w:sz w:val="20"/>
        <w:szCs w:val="32"/>
        <w:lang w:val="zh-CN" w:eastAsia="zh-CN" w:bidi="zh-CN"/>
      </w:rPr>
    </w:pPr>
    <w:r>
      <w:rPr>
        <w:sz w:val="20"/>
      </w:rPr>
      <mc:AlternateContent>
        <mc:Choice Requires="wps">
          <w:drawing>
            <wp:anchor distT="0" distB="0" distL="114298" distR="114298" simplePos="0" relativeHeight="21" behindDoc="0" locked="0" layoutInCell="1" hidden="0" allowOverlap="1">
              <wp:simplePos x="0" y="0"/>
              <wp:positionH relativeFrom="margin">
                <wp:align>outside</wp:align>
              </wp:positionH>
              <wp:positionV relativeFrom="paragraph">
                <wp:posOffset>0</wp:posOffset>
              </wp:positionV>
              <wp:extent cx="1471777" cy="381000"/>
              <wp:effectExtent l="0" t="0" r="0" b="0"/>
              <wp:wrapNone/>
              <wp:docPr id="12" name="文本框 12"/>
              <wp:cNvGraphicFramePr>
                <a:graphicFrameLocks noChangeAspect="0"/>
              </wp:cNvGraphicFramePr>
              <a:graphic>
                <a:graphicData uri="http://schemas.microsoft.com/office/word/2010/wordprocessingShape">
                  <wps:wsp>
                    <wps:cNvSpPr/>
                    <wps:spPr>
                      <a:xfrm rot="0">
                        <a:off x="0" y="0"/>
                        <a:ext cx="1471777" cy="381000"/>
                      </a:xfrm>
                      <a:prstGeom prst="rect"/>
                      <a:noFill/>
                      <a:ln w="6350" cmpd="sng" cap="flat">
                        <a:noFill/>
                        <a:prstDash val="solid"/>
                        <a:round/>
                      </a:ln>
                    </wps:spPr>
                    <wps:txbx id="13">
                      <w:txbxContent>
                        <w:p>
                          <w:pPr>
                            <w:pStyle w:val="18"/>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00" w:left="320" w:rightChars="100" w:right="320"/>
                            <w:textAlignment w:val="auto"/>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9</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4" o:spid="_x0000_s14" filled="f" stroked="f" strokeweight="0.5pt" style="position:absolute;margin-left:0.0pt;margin-top:0.0pt;width:115.88798pt;height:30.0pt;z-index:21;mso-position-horizontal:outside;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8"/>
                      <w:keepNext w:val="0"/>
                      <w:keepLines w:val="0"/>
                      <w:pageBreakBefore w:val="0"/>
                      <w:widowControl w:val="0"/>
                      <w:tabs>
                        <w:tab w:val="center" w:pos="4153"/>
                        <w:tab w:val="right" w:pos="8306"/>
                      </w:tabs>
                      <w:kinsoku/>
                      <w:wordWrap/>
                      <w:overflowPunct/>
                      <w:topLinePunct w:val="0"/>
                      <w:autoSpaceDE/>
                      <w:autoSpaceDN/>
                      <w:bidi w:val="0"/>
                      <w:adjustRightInd/>
                      <w:snapToGrid w:val="0"/>
                      <w:ind w:leftChars="100" w:left="320" w:rightChars="100" w:right="320"/>
                      <w:textAlignment w:val="auto"/>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9</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v:textbox>
            </v:shape>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8"/>
      <w:tabs>
        <w:tab w:val="center" w:pos="4153"/>
        <w:tab w:val="right" w:pos="8306"/>
      </w:tabs>
      <w:ind w:right="360"/>
    </w:pPr>
    <w:r>
      <w:rPr>
        <w:sz w:val="18"/>
      </w:rPr>
      <mc:AlternateContent>
        <mc:Choice Requires="wps">
          <w:drawing>
            <wp:anchor distT="0" distB="0" distL="114298" distR="114298" simplePos="0" relativeHeight="22" behindDoc="0" locked="0" layoutInCell="1" hidden="0" allowOverlap="1">
              <wp:simplePos x="0" y="0"/>
              <wp:positionH relativeFrom="margin">
                <wp:align>outside</wp:align>
              </wp:positionH>
              <wp:positionV relativeFrom="paragraph">
                <wp:posOffset>0</wp:posOffset>
              </wp:positionV>
              <wp:extent cx="1065377" cy="381000"/>
              <wp:effectExtent l="0" t="0" r="0" b="0"/>
              <wp:wrapNone/>
              <wp:docPr id="15" name="文本框 15"/>
              <wp:cNvGraphicFramePr>
                <a:graphicFrameLocks noChangeAspect="0"/>
              </wp:cNvGraphicFramePr>
              <a:graphic>
                <a:graphicData uri="http://schemas.microsoft.com/office/word/2010/wordprocessingShape">
                  <wps:wsp>
                    <wps:cNvSpPr/>
                    <wps:spPr>
                      <a:xfrm rot="0">
                        <a:off x="0" y="0"/>
                        <a:ext cx="1065377" cy="381000"/>
                      </a:xfrm>
                      <a:prstGeom prst="rect"/>
                      <a:noFill/>
                      <a:ln w="6350" cmpd="sng" cap="flat">
                        <a:noFill/>
                        <a:prstDash val="solid"/>
                        <a:round/>
                      </a:ln>
                    </wps:spPr>
                    <wps:txbx id="16">
                      <w:txbxContent>
                        <w:p>
                          <w:pPr>
                            <w:pStyle w:val="18"/>
                            <w:tabs>
                              <w:tab w:val="center" w:pos="4153"/>
                              <w:tab w:val="right" w:pos="8306"/>
                            </w:tabs>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10</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17" o:spid="_x0000_s17" filled="f" stroked="f" strokeweight="0.5pt" style="position:absolute;margin-left:0.0pt;margin-top:0.0pt;width:83.888pt;height:30.0pt;z-index:22;mso-position-horizontal:outsid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8"/>
                      <w:tabs>
                        <w:tab w:val="center" w:pos="4153"/>
                        <w:tab w:val="right" w:pos="8306"/>
                      </w:tabs>
                      <w:rPr>
                        <w:rFonts w:ascii="方正仿宋_GBK" w:eastAsia="方正仿宋_GBK" w:cs="方正仿宋_GBK" w:hint="eastAsia"/>
                        <w:sz w:val="28"/>
                        <w:szCs w:val="28"/>
                      </w:rPr>
                    </w:pPr>
                    <w:r>
                      <w:rPr>
                        <w:rFonts w:ascii="方正仿宋_GBK" w:eastAsia="方正仿宋_GBK" w:cs="方正仿宋_GBK" w:hint="eastAsia"/>
                        <w:sz w:val="28"/>
                        <w:szCs w:val="28"/>
                      </w:rPr>
                      <w:t xml:space="preserve">— </w:t>
                    </w:r>
                    <w:r>
                      <w:rPr>
                        <w:rFonts w:ascii="方正仿宋_GBK" w:eastAsia="方正仿宋_GBK" w:cs="方正仿宋_GBK" w:hint="eastAsia"/>
                        <w:sz w:val="28"/>
                        <w:szCs w:val="28"/>
                      </w:rPr>
                      <w:fldChar w:fldCharType="begin"/>
                    </w:r>
                    <w:r>
                      <w:rPr>
                        <w:rFonts w:ascii="方正仿宋_GBK" w:eastAsia="方正仿宋_GBK" w:cs="方正仿宋_GBK" w:hint="eastAsia"/>
                        <w:sz w:val="28"/>
                        <w:szCs w:val="28"/>
                      </w:rPr>
                      <w:instrText xml:space="preserve"> PAGE  \* MERGEFORMAT </w:instrText>
                    </w:r>
                    <w:r>
                      <w:rPr>
                        <w:rFonts w:ascii="方正仿宋_GBK" w:eastAsia="方正仿宋_GBK" w:cs="方正仿宋_GBK" w:hint="eastAsia"/>
                        <w:sz w:val="28"/>
                        <w:szCs w:val="28"/>
                      </w:rPr>
                      <w:fldChar w:fldCharType="separate"/>
                    </w:r>
                    <w:r>
                      <w:rPr>
                        <w:rFonts w:ascii="方正仿宋_GBK" w:eastAsia="方正仿宋_GBK" w:cs="方正仿宋_GBK" w:hint="eastAsia"/>
                        <w:sz w:val="28"/>
                        <w:szCs w:val="28"/>
                      </w:rPr>
                      <w:t>10</w:t>
                    </w:r>
                    <w:r>
                      <w:rPr>
                        <w:rFonts w:ascii="方正仿宋_GBK" w:eastAsia="方正仿宋_GBK" w:cs="方正仿宋_GBK" w:hint="eastAsia"/>
                        <w:sz w:val="28"/>
                        <w:szCs w:val="28"/>
                      </w:rPr>
                      <w:fldChar w:fldCharType="end"/>
                    </w:r>
                    <w:r>
                      <w:rPr>
                        <w:rFonts w:ascii="方正仿宋_GBK" w:eastAsia="方正仿宋_GBK" w:cs="方正仿宋_GBK" w:hint="eastAsia"/>
                        <w:sz w:val="28"/>
                        <w:szCs w:val="28"/>
                      </w:rPr>
                      <w:t xml:space="preserve"> —</w:t>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spacing w:line="14" w:lineRule="auto"/>
      <w:rPr>
        <w:sz w:val="2"/>
      </w:rPr>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8B2851BC"/>
    <w:multiLevelType w:val="singleLevel"/>
    <w:tmpl w:val="8B2851BC"/>
    <w:lvl w:ilvl="0">
      <w:start w:val="5"/>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320"/>
  <w:drawingGridVerticalSpacing w:val="219"/>
  <w:displayHorizontalDrawingGridEvery w:val="1"/>
  <w:displayVerticalDrawingGridEvery w:val="2"/>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pacing w:line="600" w:lineRule="exact"/>
      <w:ind w:firstLineChars="200" w:firstLine="200"/>
      <w:jc w:val="both"/>
    </w:pPr>
    <w:rPr>
      <w:rFonts w:ascii="方正仿宋_GBK" w:eastAsia="方正仿宋_GBK" w:cs="Times New Roman"/>
      <w:kern w:val="2"/>
      <w:sz w:val="32"/>
      <w:szCs w:val="32"/>
      <w:lang w:val="en-US" w:eastAsia="zh-CN" w:bidi="ar-SA"/>
    </w:rPr>
  </w:style>
  <w:style w:type="character" w:default="1" w:styleId="10">
    <w:name w:val="Default Paragraph Font"/>
  </w:style>
  <w:style w:type="paragraph" w:styleId="15">
    <w:name w:val="Title"/>
    <w:basedOn w:val="0"/>
    <w:next w:val="0"/>
    <w:pPr>
      <w:spacing w:before="240" w:after="60"/>
      <w:jc w:val="center"/>
      <w:outlineLvl w:val="0"/>
    </w:pPr>
    <w:rPr>
      <w:rFonts w:ascii="Arial" w:eastAsia="宋体" w:cs="Times New Roman" w:hAnsi="Arial"/>
      <w:b/>
      <w:sz w:val="32"/>
    </w:rPr>
  </w:style>
  <w:style w:type="paragraph" w:styleId="16">
    <w:name w:val="Body Text"/>
    <w:basedOn w:val="0"/>
    <w:pPr>
      <w:spacing w:after="120" w:afterAutospacing="0"/>
    </w:pPr>
  </w:style>
  <w:style w:type="paragraph" w:styleId="17">
    <w:name w:val="Plain Text"/>
    <w:basedOn w:val="0"/>
    <w:rPr>
      <w:rFonts w:ascii="宋体" w:hAnsi="宋体"/>
    </w:r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styleId="20">
    <w:name w:val="page number"/>
    <w:basedOn w:val="10"/>
  </w:style>
  <w:style w:type="paragraph" w:customStyle="1" w:styleId="21">
    <w:name w:val="Table Paragraph"/>
    <w:basedOn w:val="0"/>
    <w:rPr>
      <w:rFonts w:ascii="宋体" w:eastAsia="宋体" w:cs="宋体"/>
      <w:lang w:val="zh-CN" w:bidi="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styles" Target="styles.xml"/><Relationship Id="rId9" Type="http://schemas.openxmlformats.org/officeDocument/2006/relationships/numbering" Target="numbering.xml"/><Relationship Id="rId10"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11</Pages>
  <Words>4118</Words>
  <Characters>4535</Characters>
  <Lines>471</Lines>
  <Paragraphs>220</Paragraphs>
  <CharactersWithSpaces>4595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ACER01</dc:creator>
  <cp:lastModifiedBy>acer</cp:lastModifiedBy>
  <cp:revision>1</cp:revision>
  <cp:lastPrinted>2025-07-21T10:44:00Z</cp:lastPrinted>
  <dcterms:created xsi:type="dcterms:W3CDTF">2021-07-19T10:01:00Z</dcterms:created>
  <dcterms:modified xsi:type="dcterms:W3CDTF">2025-08-25T01:30:35Z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2052-11.8.6.8556</vt:lpwstr>
  </property>
  <property fmtid="{D5CDD505-2E9C-101B-9397-08002B2CF9AE}" pid="3" name="ICV">
    <vt:lpwstr>570E33871F4D48B8AEBABB84CBD20DF6</vt:lpwstr>
  </property>
</Properties>
</file>