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方正黑体_GBK"/>
          <w:bCs/>
          <w:kern w:val="44"/>
          <w:szCs w:val="32"/>
        </w:rPr>
      </w:pPr>
      <w:r>
        <w:rPr>
          <w:rFonts w:eastAsia="方正黑体_GBK"/>
          <w:bCs/>
          <w:kern w:val="44"/>
          <w:sz w:val="32"/>
          <w:szCs w:val="32"/>
        </w:rPr>
        <w:t>附件1</w:t>
      </w:r>
    </w:p>
    <w:p>
      <w:pPr>
        <w:widowControl/>
        <w:spacing w:line="600" w:lineRule="exact"/>
        <w:jc w:val="center"/>
        <w:rPr>
          <w:rFonts w:eastAsia="方正小标宋_GBK"/>
          <w:kern w:val="0"/>
          <w:sz w:val="44"/>
          <w:szCs w:val="44"/>
        </w:rPr>
      </w:pPr>
      <w:r>
        <w:rPr>
          <w:rFonts w:eastAsia="方正小标宋_GBK"/>
          <w:kern w:val="0"/>
          <w:sz w:val="44"/>
          <w:szCs w:val="44"/>
        </w:rPr>
        <w:t>重庆市森林康养基地创建导则（试行）</w:t>
      </w:r>
    </w:p>
    <w:p>
      <w:pPr>
        <w:widowControl w:val="0"/>
        <w:suppressAutoHyphens/>
        <w:adjustRightInd w:val="0"/>
        <w:snapToGrid w:val="0"/>
        <w:spacing w:line="520" w:lineRule="exact"/>
        <w:ind w:firstLine="562" w:firstLineChars="200"/>
        <w:outlineLvl w:val="0"/>
        <w:rPr>
          <w:rFonts w:eastAsia="仿宋"/>
          <w:b/>
          <w:bCs/>
          <w:kern w:val="44"/>
          <w:sz w:val="28"/>
          <w:szCs w:val="28"/>
        </w:rPr>
      </w:pPr>
    </w:p>
    <w:p>
      <w:pPr>
        <w:adjustRightInd w:val="0"/>
        <w:snapToGrid w:val="0"/>
        <w:spacing w:line="560" w:lineRule="exact"/>
        <w:ind w:firstLine="640" w:firstLineChars="200"/>
        <w:outlineLvl w:val="0"/>
        <w:rPr>
          <w:rFonts w:eastAsia="方正黑体_GBK"/>
          <w:bCs/>
          <w:kern w:val="44"/>
          <w:sz w:val="32"/>
          <w:szCs w:val="32"/>
        </w:rPr>
      </w:pPr>
      <w:r>
        <w:rPr>
          <w:rFonts w:eastAsia="方正黑体_GBK"/>
          <w:bCs/>
          <w:kern w:val="44"/>
          <w:sz w:val="32"/>
          <w:szCs w:val="32"/>
        </w:rPr>
        <w:t>1  范围</w:t>
      </w:r>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本导则规定了重庆市森林康养基地的申报基本条件、森林康养服务要求、申报与评选、监督管理等方面的内容和技术要求。</w:t>
      </w:r>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本导则适用于重庆市森林康养基地的申报、评选、监督管理等。</w:t>
      </w:r>
    </w:p>
    <w:p>
      <w:pPr>
        <w:adjustRightInd w:val="0"/>
        <w:snapToGrid w:val="0"/>
        <w:spacing w:line="560" w:lineRule="exact"/>
        <w:ind w:firstLine="640" w:firstLineChars="200"/>
        <w:outlineLvl w:val="0"/>
        <w:rPr>
          <w:rFonts w:eastAsia="方正黑体_GBK"/>
          <w:bCs/>
          <w:kern w:val="44"/>
          <w:sz w:val="32"/>
          <w:szCs w:val="32"/>
        </w:rPr>
      </w:pPr>
      <w:bookmarkStart w:id="0" w:name="_Toc247965677"/>
      <w:bookmarkStart w:id="1" w:name="_Toc260729473"/>
      <w:bookmarkStart w:id="2" w:name="_Toc420571783"/>
      <w:bookmarkStart w:id="3" w:name="_Toc260382568"/>
      <w:bookmarkStart w:id="4" w:name="_Toc247964284"/>
      <w:bookmarkStart w:id="5" w:name="_Toc260382888"/>
      <w:bookmarkStart w:id="6" w:name="_Toc260729321"/>
      <w:bookmarkStart w:id="7" w:name="_Toc247965639"/>
      <w:bookmarkStart w:id="8" w:name="_Toc7868"/>
      <w:r>
        <w:rPr>
          <w:rFonts w:eastAsia="方正黑体_GBK"/>
          <w:bCs/>
          <w:kern w:val="44"/>
          <w:sz w:val="32"/>
          <w:szCs w:val="32"/>
        </w:rPr>
        <w:t>2  规范性引用文件</w:t>
      </w:r>
      <w:bookmarkEnd w:id="0"/>
      <w:bookmarkEnd w:id="1"/>
      <w:bookmarkEnd w:id="2"/>
      <w:bookmarkEnd w:id="3"/>
      <w:bookmarkEnd w:id="4"/>
      <w:bookmarkEnd w:id="5"/>
      <w:bookmarkEnd w:id="6"/>
      <w:bookmarkEnd w:id="7"/>
      <w:bookmarkEnd w:id="8"/>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下列文件中的条款通过本导则的引用而成为本导则的条款。凡是注日期的引用文件，仅所注日期的版本适用于本文件。</w:t>
      </w:r>
    </w:p>
    <w:p>
      <w:pPr>
        <w:adjustRightInd w:val="0"/>
        <w:snapToGrid w:val="0"/>
        <w:spacing w:line="560" w:lineRule="exact"/>
        <w:ind w:firstLine="640" w:firstLineChars="200"/>
        <w:rPr>
          <w:rFonts w:eastAsia="方正仿宋_GBK"/>
          <w:sz w:val="32"/>
          <w:szCs w:val="32"/>
        </w:rPr>
      </w:pPr>
      <w:bookmarkStart w:id="9" w:name="_Toc3061"/>
      <w:bookmarkStart w:id="10" w:name="_Toc420571784"/>
      <w:r>
        <w:rPr>
          <w:rFonts w:eastAsia="方正仿宋_GBK"/>
          <w:sz w:val="32"/>
          <w:szCs w:val="32"/>
        </w:rPr>
        <w:t>GBT 18005-1999 中国森林公园风景资源质量等级评定</w:t>
      </w:r>
    </w:p>
    <w:p>
      <w:pPr>
        <w:adjustRightInd w:val="0"/>
        <w:snapToGrid w:val="0"/>
        <w:spacing w:line="560" w:lineRule="exact"/>
        <w:ind w:firstLine="640" w:firstLineChars="200"/>
        <w:rPr>
          <w:rFonts w:eastAsia="方正仿宋_GBK"/>
          <w:sz w:val="32"/>
          <w:szCs w:val="32"/>
        </w:rPr>
      </w:pPr>
      <w:r>
        <w:rPr>
          <w:rFonts w:eastAsia="方正仿宋_GBK"/>
          <w:sz w:val="32"/>
          <w:szCs w:val="32"/>
        </w:rPr>
        <w:t>GB 3838-2002 地表水环境质量标准</w:t>
      </w:r>
    </w:p>
    <w:p>
      <w:pPr>
        <w:adjustRightInd w:val="0"/>
        <w:snapToGrid w:val="0"/>
        <w:spacing w:line="560" w:lineRule="exact"/>
        <w:ind w:firstLine="640" w:firstLineChars="200"/>
        <w:rPr>
          <w:rFonts w:eastAsia="方正仿宋_GBK"/>
          <w:sz w:val="32"/>
          <w:szCs w:val="32"/>
        </w:rPr>
      </w:pPr>
      <w:r>
        <w:rPr>
          <w:rFonts w:eastAsia="方正仿宋_GBK"/>
          <w:sz w:val="32"/>
          <w:szCs w:val="32"/>
        </w:rPr>
        <w:t>GB 18918-2002 城镇污水处理厂污染物排放标准</w:t>
      </w:r>
    </w:p>
    <w:p>
      <w:pPr>
        <w:adjustRightInd w:val="0"/>
        <w:snapToGrid w:val="0"/>
        <w:spacing w:line="560" w:lineRule="exact"/>
        <w:ind w:firstLine="640" w:firstLineChars="200"/>
        <w:rPr>
          <w:rFonts w:eastAsia="方正仿宋_GBK"/>
          <w:sz w:val="32"/>
          <w:szCs w:val="32"/>
        </w:rPr>
      </w:pPr>
      <w:r>
        <w:rPr>
          <w:rFonts w:eastAsia="方正仿宋_GBK"/>
          <w:sz w:val="32"/>
          <w:szCs w:val="32"/>
        </w:rPr>
        <w:t>GB 5749-2006生活饮用水卫生标准</w:t>
      </w:r>
    </w:p>
    <w:p>
      <w:pPr>
        <w:adjustRightInd w:val="0"/>
        <w:snapToGrid w:val="0"/>
        <w:spacing w:line="560" w:lineRule="exact"/>
        <w:ind w:firstLine="640" w:firstLineChars="200"/>
        <w:rPr>
          <w:rFonts w:eastAsia="方正仿宋_GBK"/>
          <w:sz w:val="32"/>
          <w:szCs w:val="32"/>
        </w:rPr>
      </w:pPr>
      <w:r>
        <w:rPr>
          <w:rFonts w:eastAsia="方正仿宋_GBK"/>
          <w:sz w:val="32"/>
          <w:szCs w:val="32"/>
        </w:rPr>
        <w:t>GB 3095-2012 环境空气质量标准</w:t>
      </w:r>
    </w:p>
    <w:p>
      <w:pPr>
        <w:adjustRightInd w:val="0"/>
        <w:snapToGrid w:val="0"/>
        <w:spacing w:line="560" w:lineRule="exact"/>
        <w:ind w:firstLine="640" w:firstLineChars="200"/>
        <w:rPr>
          <w:rFonts w:eastAsia="方正仿宋_GBK"/>
          <w:sz w:val="32"/>
          <w:szCs w:val="32"/>
        </w:rPr>
      </w:pPr>
      <w:r>
        <w:rPr>
          <w:rFonts w:eastAsia="方正仿宋_GBK"/>
          <w:sz w:val="32"/>
          <w:szCs w:val="32"/>
        </w:rPr>
        <w:t>GBT 29353-2012 养老机构基本规范</w:t>
      </w:r>
    </w:p>
    <w:p>
      <w:pPr>
        <w:adjustRightInd w:val="0"/>
        <w:snapToGrid w:val="0"/>
        <w:spacing w:line="560" w:lineRule="exact"/>
        <w:ind w:firstLine="640" w:firstLineChars="200"/>
        <w:rPr>
          <w:rFonts w:eastAsia="方正仿宋_GBK"/>
          <w:sz w:val="32"/>
          <w:szCs w:val="32"/>
        </w:rPr>
      </w:pPr>
      <w:r>
        <w:rPr>
          <w:rFonts w:eastAsia="方正仿宋_GBK"/>
          <w:sz w:val="32"/>
          <w:szCs w:val="32"/>
        </w:rPr>
        <w:t>GB∕T 35796-2017 养老机构服务质量基本规范</w:t>
      </w:r>
    </w:p>
    <w:p>
      <w:pPr>
        <w:adjustRightInd w:val="0"/>
        <w:snapToGrid w:val="0"/>
        <w:spacing w:line="560" w:lineRule="exact"/>
        <w:ind w:firstLine="640" w:firstLineChars="200"/>
        <w:rPr>
          <w:rFonts w:eastAsia="方正仿宋_GBK"/>
          <w:sz w:val="32"/>
          <w:szCs w:val="32"/>
        </w:rPr>
      </w:pPr>
      <w:r>
        <w:rPr>
          <w:rFonts w:eastAsia="方正仿宋_GBK"/>
          <w:sz w:val="32"/>
          <w:szCs w:val="32"/>
        </w:rPr>
        <w:t>LY∕T 2586-2016 空气负（氧）离子浓度观测技术规范</w:t>
      </w:r>
    </w:p>
    <w:p>
      <w:pPr>
        <w:adjustRightInd w:val="0"/>
        <w:snapToGrid w:val="0"/>
        <w:spacing w:line="560" w:lineRule="exact"/>
        <w:ind w:firstLine="640" w:firstLineChars="200"/>
        <w:rPr>
          <w:rFonts w:eastAsia="方正仿宋_GBK"/>
          <w:sz w:val="32"/>
          <w:szCs w:val="32"/>
        </w:rPr>
      </w:pPr>
      <w:r>
        <w:rPr>
          <w:rFonts w:eastAsia="方正仿宋_GBK"/>
          <w:sz w:val="32"/>
          <w:szCs w:val="32"/>
        </w:rPr>
        <w:t>LY∕T 2790-2017 国家森林步道建设规范</w:t>
      </w:r>
    </w:p>
    <w:p>
      <w:pPr>
        <w:adjustRightInd w:val="0"/>
        <w:snapToGrid w:val="0"/>
        <w:spacing w:line="560" w:lineRule="exact"/>
        <w:ind w:firstLine="640" w:firstLineChars="200"/>
        <w:rPr>
          <w:rFonts w:eastAsia="方正仿宋_GBK"/>
          <w:sz w:val="32"/>
          <w:szCs w:val="32"/>
        </w:rPr>
      </w:pPr>
      <w:r>
        <w:rPr>
          <w:rFonts w:eastAsia="方正仿宋_GBK"/>
          <w:sz w:val="32"/>
          <w:szCs w:val="32"/>
        </w:rPr>
        <w:t>LY∕T 2934-2018 森林康养基地质量评定</w:t>
      </w:r>
    </w:p>
    <w:p>
      <w:pPr>
        <w:adjustRightInd w:val="0"/>
        <w:snapToGrid w:val="0"/>
        <w:spacing w:line="560" w:lineRule="exact"/>
        <w:ind w:firstLine="640" w:firstLineChars="200"/>
        <w:rPr>
          <w:rFonts w:eastAsia="方正仿宋_GBK"/>
          <w:sz w:val="32"/>
          <w:szCs w:val="32"/>
        </w:rPr>
      </w:pPr>
      <w:r>
        <w:rPr>
          <w:rFonts w:eastAsia="方正仿宋_GBK"/>
          <w:sz w:val="32"/>
          <w:szCs w:val="32"/>
        </w:rPr>
        <w:t>LY∕T 2935-2018 森林康养基地总体规划导则</w:t>
      </w:r>
    </w:p>
    <w:p>
      <w:pPr>
        <w:adjustRightInd w:val="0"/>
        <w:snapToGrid w:val="0"/>
        <w:spacing w:line="560" w:lineRule="exact"/>
        <w:ind w:firstLine="640" w:firstLineChars="200"/>
        <w:rPr>
          <w:rFonts w:eastAsia="方正仿宋_GBK"/>
          <w:sz w:val="32"/>
          <w:szCs w:val="32"/>
        </w:rPr>
      </w:pPr>
      <w:r>
        <w:rPr>
          <w:rFonts w:eastAsia="方正仿宋_GBK"/>
          <w:sz w:val="32"/>
          <w:szCs w:val="32"/>
        </w:rPr>
        <w:t>JTG B01-2014 公路工程技术标准</w:t>
      </w:r>
    </w:p>
    <w:p>
      <w:pPr>
        <w:adjustRightInd w:val="0"/>
        <w:snapToGrid w:val="0"/>
        <w:spacing w:line="560" w:lineRule="exact"/>
        <w:ind w:firstLine="640" w:firstLineChars="200"/>
        <w:rPr>
          <w:rFonts w:eastAsia="方正仿宋_GBK"/>
          <w:sz w:val="32"/>
          <w:szCs w:val="32"/>
        </w:rPr>
      </w:pPr>
      <w:r>
        <w:rPr>
          <w:rFonts w:eastAsia="方正仿宋_GBK"/>
          <w:sz w:val="32"/>
          <w:szCs w:val="32"/>
        </w:rPr>
        <w:t>DZT0286-2015地质灾害危险性评估规范</w:t>
      </w:r>
    </w:p>
    <w:p>
      <w:pPr>
        <w:adjustRightInd w:val="0"/>
        <w:snapToGrid w:val="0"/>
        <w:spacing w:line="560" w:lineRule="exact"/>
        <w:ind w:firstLine="640" w:firstLineChars="200"/>
        <w:rPr>
          <w:rFonts w:eastAsia="方正仿宋_GBK"/>
          <w:sz w:val="32"/>
          <w:szCs w:val="32"/>
        </w:rPr>
      </w:pPr>
      <w:r>
        <w:rPr>
          <w:rFonts w:eastAsia="方正仿宋_GBK"/>
          <w:sz w:val="32"/>
          <w:szCs w:val="32"/>
        </w:rPr>
        <w:t>LB/T 051-2016 国家康养旅游示范基地</w:t>
      </w:r>
    </w:p>
    <w:p>
      <w:pPr>
        <w:adjustRightInd w:val="0"/>
        <w:snapToGrid w:val="0"/>
        <w:spacing w:line="560" w:lineRule="exact"/>
        <w:ind w:firstLine="640" w:firstLineChars="200"/>
        <w:rPr>
          <w:rFonts w:eastAsia="方正仿宋_GBK"/>
          <w:sz w:val="32"/>
          <w:szCs w:val="32"/>
        </w:rPr>
      </w:pPr>
      <w:r>
        <w:rPr>
          <w:rFonts w:eastAsia="方正仿宋_GBK"/>
          <w:sz w:val="32"/>
          <w:szCs w:val="32"/>
        </w:rPr>
        <w:t>ZGYS/T 001-2010 中国药膳制作及从业资质基本要求</w:t>
      </w:r>
    </w:p>
    <w:p>
      <w:pPr>
        <w:adjustRightInd w:val="0"/>
        <w:snapToGrid w:val="0"/>
        <w:spacing w:line="560" w:lineRule="exact"/>
        <w:ind w:firstLine="640" w:firstLineChars="200"/>
        <w:outlineLvl w:val="0"/>
        <w:rPr>
          <w:rFonts w:eastAsia="方正仿宋_GBK"/>
          <w:sz w:val="32"/>
          <w:szCs w:val="32"/>
        </w:rPr>
      </w:pPr>
      <w:r>
        <w:rPr>
          <w:rFonts w:eastAsia="方正仿宋_GBK"/>
          <w:sz w:val="32"/>
          <w:szCs w:val="32"/>
        </w:rPr>
        <w:t>T/CCPEF 056-2019 生态康养基地评定标准</w:t>
      </w:r>
    </w:p>
    <w:p>
      <w:pPr>
        <w:adjustRightInd w:val="0"/>
        <w:snapToGrid w:val="0"/>
        <w:spacing w:line="560" w:lineRule="exact"/>
        <w:ind w:firstLine="640" w:firstLineChars="200"/>
        <w:outlineLvl w:val="0"/>
        <w:rPr>
          <w:rFonts w:eastAsia="方正仿宋_GBK"/>
          <w:sz w:val="32"/>
          <w:szCs w:val="32"/>
        </w:rPr>
      </w:pPr>
      <w:r>
        <w:rPr>
          <w:rFonts w:eastAsia="方正仿宋_GBK"/>
          <w:sz w:val="32"/>
          <w:szCs w:val="32"/>
        </w:rPr>
        <w:t>T∕CSF 010-2019 森林类自然教育基地建设导则</w:t>
      </w:r>
    </w:p>
    <w:p>
      <w:pPr>
        <w:adjustRightInd w:val="0"/>
        <w:snapToGrid w:val="0"/>
        <w:spacing w:line="560" w:lineRule="exact"/>
        <w:ind w:firstLine="640" w:firstLineChars="200"/>
        <w:outlineLvl w:val="0"/>
        <w:rPr>
          <w:rFonts w:eastAsia="方正仿宋_GBK"/>
          <w:sz w:val="32"/>
          <w:szCs w:val="32"/>
        </w:rPr>
      </w:pPr>
      <w:r>
        <w:rPr>
          <w:rFonts w:eastAsia="方正仿宋_GBK"/>
          <w:sz w:val="32"/>
          <w:szCs w:val="32"/>
        </w:rPr>
        <w:t>T∕CSF 011-2019 自然教育标识设置规范</w:t>
      </w:r>
    </w:p>
    <w:p>
      <w:pPr>
        <w:adjustRightInd w:val="0"/>
        <w:snapToGrid w:val="0"/>
        <w:spacing w:line="560" w:lineRule="exact"/>
        <w:ind w:firstLine="640" w:firstLineChars="200"/>
        <w:rPr>
          <w:rFonts w:eastAsia="方正仿宋_GBK"/>
          <w:sz w:val="32"/>
          <w:szCs w:val="32"/>
        </w:rPr>
      </w:pPr>
      <w:r>
        <w:rPr>
          <w:rFonts w:eastAsia="方正仿宋_GBK"/>
          <w:sz w:val="32"/>
          <w:szCs w:val="32"/>
        </w:rPr>
        <w:t>T/LYCY 012-2020 国家级森林康养基地标准</w:t>
      </w:r>
    </w:p>
    <w:p>
      <w:pPr>
        <w:adjustRightInd w:val="0"/>
        <w:snapToGrid w:val="0"/>
        <w:spacing w:line="560" w:lineRule="exact"/>
        <w:ind w:firstLine="640" w:firstLineChars="200"/>
        <w:outlineLvl w:val="0"/>
        <w:rPr>
          <w:rFonts w:eastAsia="方正黑体_GBK"/>
          <w:bCs/>
          <w:kern w:val="44"/>
          <w:sz w:val="32"/>
          <w:szCs w:val="32"/>
        </w:rPr>
      </w:pPr>
      <w:r>
        <w:rPr>
          <w:rFonts w:eastAsia="方正黑体_GBK"/>
          <w:bCs/>
          <w:kern w:val="44"/>
          <w:sz w:val="32"/>
          <w:szCs w:val="32"/>
        </w:rPr>
        <w:t>3  术语和定义</w:t>
      </w:r>
      <w:bookmarkEnd w:id="9"/>
      <w:bookmarkEnd w:id="10"/>
    </w:p>
    <w:p>
      <w:pPr>
        <w:adjustRightInd w:val="0"/>
        <w:snapToGrid w:val="0"/>
        <w:spacing w:line="560" w:lineRule="exact"/>
        <w:ind w:firstLine="640" w:firstLineChars="200"/>
        <w:rPr>
          <w:rFonts w:eastAsia="方正仿宋_GBK"/>
          <w:sz w:val="32"/>
          <w:szCs w:val="32"/>
        </w:rPr>
      </w:pPr>
      <w:r>
        <w:rPr>
          <w:rFonts w:eastAsia="方正仿宋_GBK"/>
          <w:sz w:val="32"/>
          <w:szCs w:val="32"/>
        </w:rPr>
        <w:t>下列术语和定义适用于本导则。</w:t>
      </w:r>
      <w:bookmarkStart w:id="11" w:name="_Toc260729475"/>
      <w:bookmarkStart w:id="12" w:name="_Toc260382570"/>
      <w:bookmarkStart w:id="13" w:name="_Toc260729323"/>
      <w:bookmarkStart w:id="14" w:name="_Toc420571785"/>
      <w:bookmarkStart w:id="15" w:name="_Toc260382890"/>
    </w:p>
    <w:p>
      <w:pPr>
        <w:adjustRightInd w:val="0"/>
        <w:snapToGrid w:val="0"/>
        <w:spacing w:line="560" w:lineRule="exact"/>
        <w:ind w:firstLine="640" w:firstLineChars="200"/>
        <w:rPr>
          <w:rFonts w:eastAsia="方正仿宋_GBK"/>
          <w:sz w:val="32"/>
          <w:szCs w:val="32"/>
        </w:rPr>
      </w:pPr>
      <w:r>
        <w:rPr>
          <w:rFonts w:eastAsia="方正楷体_GBK"/>
          <w:sz w:val="32"/>
          <w:szCs w:val="32"/>
        </w:rPr>
        <w:t xml:space="preserve">3.1  </w:t>
      </w:r>
      <w:bookmarkEnd w:id="11"/>
      <w:bookmarkEnd w:id="12"/>
      <w:bookmarkEnd w:id="13"/>
      <w:bookmarkEnd w:id="14"/>
      <w:bookmarkEnd w:id="15"/>
      <w:r>
        <w:rPr>
          <w:rFonts w:eastAsia="方正楷体_GBK"/>
          <w:sz w:val="32"/>
          <w:szCs w:val="32"/>
        </w:rPr>
        <w:t>森林康养 forest based health and wellness</w:t>
      </w:r>
    </w:p>
    <w:p>
      <w:pPr>
        <w:adjustRightInd w:val="0"/>
        <w:snapToGrid w:val="0"/>
        <w:spacing w:line="560" w:lineRule="exact"/>
        <w:ind w:firstLine="640" w:firstLineChars="200"/>
        <w:rPr>
          <w:rFonts w:eastAsia="方正仿宋_GBK"/>
          <w:sz w:val="32"/>
          <w:szCs w:val="32"/>
        </w:rPr>
      </w:pPr>
      <w:r>
        <w:rPr>
          <w:rFonts w:eastAsia="方正仿宋_GBK"/>
          <w:sz w:val="32"/>
          <w:szCs w:val="32"/>
        </w:rPr>
        <w:t>森林康养是以森林生态环境为基础，以促进大众健康为目的，利用森林生态资源、景观资源、食药资源和文化资源，并与医学、养生学、科学普及有机融合，开展生态养生、康复疗养、自然教育、运动健身、健康养老等服务活动。</w:t>
      </w:r>
    </w:p>
    <w:p>
      <w:pPr>
        <w:adjustRightInd w:val="0"/>
        <w:snapToGrid w:val="0"/>
        <w:spacing w:line="560" w:lineRule="exact"/>
        <w:ind w:firstLine="640" w:firstLineChars="200"/>
        <w:rPr>
          <w:rFonts w:eastAsia="方正仿宋_GBK"/>
          <w:sz w:val="32"/>
          <w:szCs w:val="32"/>
        </w:rPr>
      </w:pPr>
      <w:r>
        <w:rPr>
          <w:rFonts w:eastAsia="方正楷体_GBK"/>
          <w:sz w:val="32"/>
          <w:szCs w:val="32"/>
        </w:rPr>
        <w:t>3.2  森林康养基地 forest based health and wellness base</w:t>
      </w:r>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具备优质森林、湿地资源和生态环境，结合地方特色康养资源，开展养生、康复、疗养、认知、体验、健身、养老、自然教育、科学普及等活动，能够促进人们身心健康的环境空间场地、配套设施和相应服务体系的康养综合体。</w:t>
      </w:r>
    </w:p>
    <w:p>
      <w:pPr>
        <w:adjustRightInd w:val="0"/>
        <w:snapToGrid w:val="0"/>
        <w:spacing w:line="560" w:lineRule="exact"/>
        <w:ind w:firstLine="640" w:firstLineChars="200"/>
        <w:rPr>
          <w:rFonts w:eastAsia="方正仿宋_GBK"/>
          <w:sz w:val="32"/>
          <w:szCs w:val="32"/>
          <w:lang w:bidi="ar-SA"/>
        </w:rPr>
      </w:pPr>
      <w:r>
        <w:rPr>
          <w:rFonts w:eastAsia="方正楷体_GBK"/>
          <w:sz w:val="32"/>
          <w:szCs w:val="32"/>
        </w:rPr>
        <w:t>3.3  森林康养步道 forest health and wellness trails</w:t>
      </w:r>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以森林资源为主要依托，以徒步为主，也可利用其他非机动方式（骑行等）通行的森林道路。</w:t>
      </w:r>
    </w:p>
    <w:p>
      <w:pPr>
        <w:adjustRightInd w:val="0"/>
        <w:snapToGrid w:val="0"/>
        <w:spacing w:line="560" w:lineRule="exact"/>
        <w:ind w:firstLine="640" w:firstLineChars="200"/>
        <w:rPr>
          <w:rFonts w:eastAsia="方正仿宋_GBK"/>
          <w:sz w:val="32"/>
          <w:szCs w:val="32"/>
          <w:lang w:bidi="ar-SA"/>
        </w:rPr>
      </w:pPr>
      <w:r>
        <w:rPr>
          <w:rFonts w:eastAsia="方正楷体_GBK"/>
          <w:sz w:val="32"/>
          <w:szCs w:val="32"/>
        </w:rPr>
        <w:t>3.4  森林康养设施forest health and wellness facilities</w:t>
      </w:r>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开展养生、康复、疗养、认知、体验、健身、养老、自然教育等森林康养活动的场所或设施。</w:t>
      </w:r>
    </w:p>
    <w:p>
      <w:pPr>
        <w:adjustRightInd w:val="0"/>
        <w:snapToGrid w:val="0"/>
        <w:spacing w:line="560" w:lineRule="exact"/>
        <w:ind w:firstLine="640" w:firstLineChars="200"/>
        <w:rPr>
          <w:rFonts w:eastAsia="方正仿宋_GBK"/>
          <w:sz w:val="32"/>
          <w:szCs w:val="32"/>
          <w:lang w:bidi="ar-SA"/>
        </w:rPr>
      </w:pPr>
      <w:r>
        <w:rPr>
          <w:rFonts w:eastAsia="方正楷体_GBK"/>
          <w:sz w:val="32"/>
          <w:szCs w:val="32"/>
        </w:rPr>
        <w:t>3.5  森林康养服务 forest health and wellness service</w:t>
      </w:r>
    </w:p>
    <w:p>
      <w:pPr>
        <w:adjustRightInd w:val="0"/>
        <w:snapToGrid w:val="0"/>
        <w:spacing w:line="560" w:lineRule="exact"/>
        <w:ind w:firstLine="640" w:firstLineChars="200"/>
        <w:rPr>
          <w:rFonts w:eastAsia="方正仿宋_GBK"/>
          <w:sz w:val="32"/>
          <w:szCs w:val="32"/>
          <w:lang w:bidi="ar-SA"/>
        </w:rPr>
      </w:pPr>
      <w:r>
        <w:rPr>
          <w:rFonts w:eastAsia="方正仿宋_GBK"/>
          <w:sz w:val="32"/>
          <w:szCs w:val="32"/>
          <w:lang w:bidi="ar-SA"/>
        </w:rPr>
        <w:t>为实现特定的康养目标而提供的森林康养活动、课程以及产品等服务。</w:t>
      </w:r>
    </w:p>
    <w:p>
      <w:pPr>
        <w:adjustRightInd w:val="0"/>
        <w:snapToGrid w:val="0"/>
        <w:spacing w:line="560" w:lineRule="exact"/>
        <w:ind w:firstLine="640" w:firstLineChars="200"/>
        <w:outlineLvl w:val="0"/>
        <w:rPr>
          <w:rFonts w:eastAsia="方正黑体_GBK"/>
          <w:bCs/>
          <w:kern w:val="44"/>
          <w:sz w:val="32"/>
          <w:szCs w:val="32"/>
        </w:rPr>
      </w:pPr>
      <w:r>
        <w:rPr>
          <w:rFonts w:eastAsia="方正黑体_GBK"/>
          <w:bCs/>
          <w:kern w:val="44"/>
          <w:sz w:val="32"/>
          <w:szCs w:val="32"/>
        </w:rPr>
        <w:t>4  基本条件</w:t>
      </w:r>
      <w:bookmarkStart w:id="16" w:name="_Toc468697390"/>
      <w:bookmarkStart w:id="17" w:name="_Toc29951"/>
    </w:p>
    <w:p>
      <w:pPr>
        <w:adjustRightInd w:val="0"/>
        <w:snapToGrid w:val="0"/>
        <w:spacing w:line="560" w:lineRule="exact"/>
        <w:ind w:firstLine="640" w:firstLineChars="200"/>
        <w:outlineLvl w:val="0"/>
        <w:rPr>
          <w:rFonts w:eastAsia="方正楷体_GBK"/>
          <w:sz w:val="32"/>
          <w:szCs w:val="32"/>
        </w:rPr>
      </w:pPr>
      <w:r>
        <w:rPr>
          <w:rFonts w:eastAsia="方正楷体_GBK"/>
          <w:sz w:val="32"/>
          <w:szCs w:val="32"/>
        </w:rPr>
        <w:t>4.1</w:t>
      </w:r>
      <w:bookmarkEnd w:id="16"/>
      <w:bookmarkEnd w:id="17"/>
      <w:r>
        <w:rPr>
          <w:rFonts w:eastAsia="方正楷体_GBK"/>
          <w:sz w:val="32"/>
          <w:szCs w:val="32"/>
        </w:rPr>
        <w:t xml:space="preserve"> 资源条件</w:t>
      </w:r>
    </w:p>
    <w:p>
      <w:pPr>
        <w:adjustRightInd w:val="0"/>
        <w:snapToGrid w:val="0"/>
        <w:spacing w:line="560" w:lineRule="exact"/>
        <w:ind w:firstLine="640" w:firstLineChars="200"/>
        <w:outlineLvl w:val="0"/>
        <w:rPr>
          <w:rFonts w:eastAsia="方正黑体_GBK"/>
          <w:bCs/>
          <w:kern w:val="44"/>
          <w:sz w:val="32"/>
          <w:szCs w:val="32"/>
        </w:rPr>
      </w:pPr>
      <w:r>
        <w:rPr>
          <w:rFonts w:eastAsia="方正仿宋_GBK"/>
          <w:sz w:val="32"/>
          <w:szCs w:val="32"/>
        </w:rPr>
        <w:t>4.1.1 基地面积</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基地面积原则上不小于30 hm</w:t>
      </w:r>
      <w:r>
        <w:rPr>
          <w:rFonts w:eastAsia="方正仿宋_GBK"/>
          <w:sz w:val="32"/>
          <w:szCs w:val="32"/>
          <w:vertAlign w:val="superscript"/>
        </w:rPr>
        <w:t>2</w:t>
      </w:r>
      <w:r>
        <w:rPr>
          <w:rFonts w:eastAsia="方正仿宋_GBK"/>
          <w:sz w:val="32"/>
          <w:szCs w:val="32"/>
        </w:rPr>
        <w:t>，且权属清晰无争议，无违法违规占用林地等现象。</w:t>
      </w:r>
    </w:p>
    <w:p>
      <w:pPr>
        <w:adjustRightInd w:val="0"/>
        <w:snapToGrid w:val="0"/>
        <w:spacing w:line="560" w:lineRule="exact"/>
        <w:ind w:firstLine="640" w:firstLineChars="200"/>
        <w:rPr>
          <w:rFonts w:eastAsia="方正仿宋_GBK"/>
          <w:sz w:val="32"/>
          <w:szCs w:val="32"/>
        </w:rPr>
      </w:pPr>
      <w:r>
        <w:rPr>
          <w:rFonts w:eastAsia="方正仿宋_GBK"/>
          <w:sz w:val="32"/>
          <w:szCs w:val="32"/>
        </w:rPr>
        <w:t>4.1.2 森林覆盖率</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基地内森林覆盖率一般不低于60%，或基地毗邻森林覆盖率不低于70%。</w:t>
      </w:r>
    </w:p>
    <w:p>
      <w:pPr>
        <w:adjustRightInd w:val="0"/>
        <w:snapToGrid w:val="0"/>
        <w:spacing w:line="560" w:lineRule="exact"/>
        <w:ind w:firstLine="640" w:firstLineChars="200"/>
        <w:rPr>
          <w:rFonts w:eastAsia="方正仿宋_GBK"/>
          <w:sz w:val="32"/>
          <w:szCs w:val="32"/>
        </w:rPr>
      </w:pPr>
      <w:r>
        <w:rPr>
          <w:rFonts w:eastAsia="方正仿宋_GBK"/>
          <w:sz w:val="32"/>
          <w:szCs w:val="32"/>
        </w:rPr>
        <w:t>4.1.3 森林质量</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基地内森林林分类型多样、结构稳定，生物多样性丰富，无外来林业有害生物和明显的森林病虫害。</w:t>
      </w:r>
    </w:p>
    <w:p>
      <w:pPr>
        <w:adjustRightInd w:val="0"/>
        <w:snapToGrid w:val="0"/>
        <w:spacing w:line="560" w:lineRule="exact"/>
        <w:ind w:firstLine="640" w:firstLineChars="200"/>
        <w:rPr>
          <w:rFonts w:eastAsia="方正仿宋_GBK"/>
          <w:sz w:val="32"/>
          <w:szCs w:val="32"/>
        </w:rPr>
      </w:pPr>
      <w:r>
        <w:rPr>
          <w:rFonts w:eastAsia="方正仿宋_GBK"/>
          <w:sz w:val="32"/>
          <w:szCs w:val="32"/>
        </w:rPr>
        <w:t>4.1.4 景观条件</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基地开花、观果、彩叶植物和药用植物等资源丰富，森林季相变化明显，景观资源多样。</w:t>
      </w:r>
    </w:p>
    <w:p>
      <w:pPr>
        <w:adjustRightInd w:val="0"/>
        <w:snapToGrid w:val="0"/>
        <w:spacing w:line="560" w:lineRule="exact"/>
        <w:ind w:firstLine="640" w:firstLineChars="200"/>
        <w:rPr>
          <w:rFonts w:eastAsia="方正仿宋_GBK"/>
          <w:sz w:val="32"/>
          <w:szCs w:val="32"/>
        </w:rPr>
      </w:pPr>
      <w:r>
        <w:rPr>
          <w:rFonts w:eastAsia="方正仿宋_GBK"/>
          <w:sz w:val="32"/>
          <w:szCs w:val="32"/>
        </w:rPr>
        <w:t>4.1.5 主体功能区海拔</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基地主体功能区海拔宜在800-1500m之间。</w:t>
      </w:r>
    </w:p>
    <w:p>
      <w:pPr>
        <w:adjustRightInd w:val="0"/>
        <w:snapToGrid w:val="0"/>
        <w:spacing w:line="560" w:lineRule="exact"/>
        <w:ind w:firstLine="640" w:firstLineChars="200"/>
        <w:rPr>
          <w:rFonts w:eastAsia="方正楷体_GBK"/>
          <w:sz w:val="32"/>
          <w:szCs w:val="32"/>
        </w:rPr>
      </w:pPr>
      <w:r>
        <w:rPr>
          <w:rFonts w:eastAsia="方正楷体_GBK"/>
          <w:sz w:val="32"/>
          <w:szCs w:val="32"/>
        </w:rPr>
        <w:t>4.2 环境条件</w:t>
      </w:r>
    </w:p>
    <w:p>
      <w:pPr>
        <w:adjustRightInd w:val="0"/>
        <w:snapToGrid w:val="0"/>
        <w:spacing w:line="560" w:lineRule="exact"/>
        <w:ind w:firstLine="640" w:firstLineChars="200"/>
        <w:rPr>
          <w:rFonts w:eastAsia="方正仿宋_GBK"/>
          <w:sz w:val="32"/>
          <w:szCs w:val="32"/>
        </w:rPr>
      </w:pPr>
      <w:r>
        <w:rPr>
          <w:rFonts w:eastAsia="方正仿宋_GBK"/>
          <w:sz w:val="32"/>
          <w:szCs w:val="32"/>
        </w:rPr>
        <w:t>4.2.1 空气质量</w:t>
      </w:r>
    </w:p>
    <w:p>
      <w:pPr>
        <w:adjustRightInd w:val="0"/>
        <w:snapToGrid w:val="0"/>
        <w:spacing w:line="560" w:lineRule="exact"/>
        <w:ind w:firstLine="640" w:firstLineChars="200"/>
        <w:rPr>
          <w:rFonts w:eastAsia="方正仿宋_GBK"/>
          <w:sz w:val="32"/>
          <w:szCs w:val="32"/>
        </w:rPr>
      </w:pPr>
      <w:r>
        <w:rPr>
          <w:rFonts w:eastAsia="方正仿宋_GBK"/>
          <w:sz w:val="32"/>
          <w:szCs w:val="32"/>
        </w:rPr>
        <w:t>空气负（氧）离子浓度应达到LY∕T 2586-2016 空气负（氧）离子浓度观测技术规范的II级或以上标准；PM2.5、PM10浓度应达到GB 3095-2012 环境空气质量标准的二级标准或以上。</w:t>
      </w:r>
    </w:p>
    <w:p>
      <w:pPr>
        <w:adjustRightInd w:val="0"/>
        <w:snapToGrid w:val="0"/>
        <w:spacing w:line="560" w:lineRule="exact"/>
        <w:ind w:firstLine="640" w:firstLineChars="200"/>
        <w:rPr>
          <w:rFonts w:eastAsia="方正仿宋_GBK"/>
          <w:sz w:val="32"/>
          <w:szCs w:val="32"/>
        </w:rPr>
      </w:pPr>
      <w:r>
        <w:rPr>
          <w:rFonts w:eastAsia="方正仿宋_GBK"/>
          <w:sz w:val="32"/>
          <w:szCs w:val="32"/>
        </w:rPr>
        <w:t>4.2.2 水环境质量</w:t>
      </w:r>
    </w:p>
    <w:p>
      <w:pPr>
        <w:adjustRightInd w:val="0"/>
        <w:snapToGrid w:val="0"/>
        <w:spacing w:line="560" w:lineRule="exact"/>
        <w:ind w:firstLine="640" w:firstLineChars="200"/>
        <w:rPr>
          <w:rFonts w:eastAsia="方正仿宋_GBK"/>
          <w:sz w:val="32"/>
          <w:szCs w:val="32"/>
        </w:rPr>
      </w:pPr>
      <w:r>
        <w:rPr>
          <w:rFonts w:eastAsia="方正仿宋_GBK"/>
          <w:sz w:val="32"/>
          <w:szCs w:val="32"/>
        </w:rPr>
        <w:t>饮用水应符合GB 5749-2006生活饮用水卫生标准的要求，地表水质量达到GB 3838-2002 地表水环境质量标准的III类标准或以上；并建有生活污水集中处理设施，生活污水集中处理率≥80%，按照GB 18918-2002 城镇污水处理厂污染物排放标准的规定排放。</w:t>
      </w:r>
    </w:p>
    <w:p>
      <w:pPr>
        <w:adjustRightInd w:val="0"/>
        <w:snapToGrid w:val="0"/>
        <w:spacing w:line="560" w:lineRule="exact"/>
        <w:ind w:firstLine="640" w:firstLineChars="200"/>
        <w:rPr>
          <w:rFonts w:eastAsia="方正仿宋_GBK"/>
          <w:sz w:val="32"/>
          <w:szCs w:val="32"/>
        </w:rPr>
      </w:pPr>
      <w:r>
        <w:rPr>
          <w:rFonts w:eastAsia="方正仿宋_GBK"/>
          <w:sz w:val="32"/>
          <w:szCs w:val="32"/>
        </w:rPr>
        <w:t>4.2.3 地质环境</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基地符合</w:t>
      </w:r>
      <w:r>
        <w:rPr>
          <w:rFonts w:eastAsia="方正仿宋_GBK"/>
          <w:sz w:val="32"/>
          <w:szCs w:val="32"/>
          <w:lang w:bidi="ar-SA"/>
        </w:rPr>
        <w:t>DZT0286-2015地质灾害危险性评估规范要求，确保地质环境安全，无滑坡、崩塌、泥石流、洪涝灾害等</w:t>
      </w:r>
      <w:r>
        <w:rPr>
          <w:rFonts w:eastAsia="方正仿宋_GBK"/>
          <w:sz w:val="32"/>
          <w:szCs w:val="32"/>
        </w:rPr>
        <w:t>安全隐患。</w:t>
      </w:r>
    </w:p>
    <w:p>
      <w:pPr>
        <w:adjustRightInd w:val="0"/>
        <w:snapToGrid w:val="0"/>
        <w:spacing w:line="560" w:lineRule="exact"/>
        <w:ind w:firstLine="640" w:firstLineChars="200"/>
        <w:rPr>
          <w:rFonts w:eastAsia="方正仿宋_GBK"/>
          <w:sz w:val="32"/>
          <w:szCs w:val="32"/>
        </w:rPr>
      </w:pPr>
      <w:r>
        <w:rPr>
          <w:rFonts w:eastAsia="方正仿宋_GBK"/>
          <w:sz w:val="32"/>
          <w:szCs w:val="32"/>
        </w:rPr>
        <w:t>4.2.4 生活垃圾处理</w:t>
      </w:r>
    </w:p>
    <w:p>
      <w:pPr>
        <w:adjustRightInd w:val="0"/>
        <w:snapToGrid w:val="0"/>
        <w:spacing w:line="560" w:lineRule="exact"/>
        <w:ind w:firstLine="640" w:firstLineChars="200"/>
        <w:rPr>
          <w:rFonts w:eastAsia="方正仿宋_GBK"/>
          <w:sz w:val="32"/>
          <w:szCs w:val="32"/>
        </w:rPr>
      </w:pPr>
      <w:r>
        <w:rPr>
          <w:rFonts w:eastAsia="方正仿宋_GBK"/>
          <w:sz w:val="32"/>
          <w:szCs w:val="32"/>
        </w:rPr>
        <w:t>按规定实行垃圾分类收集处理，生活垃圾无害化处理率≥85%。</w:t>
      </w:r>
    </w:p>
    <w:p>
      <w:pPr>
        <w:adjustRightInd w:val="0"/>
        <w:snapToGrid w:val="0"/>
        <w:spacing w:line="560" w:lineRule="exact"/>
        <w:ind w:firstLine="640" w:firstLineChars="200"/>
        <w:rPr>
          <w:rFonts w:eastAsia="方正仿宋_GBK"/>
          <w:sz w:val="32"/>
          <w:szCs w:val="32"/>
        </w:rPr>
      </w:pPr>
      <w:r>
        <w:rPr>
          <w:rFonts w:eastAsia="方正仿宋_GBK"/>
          <w:sz w:val="32"/>
          <w:szCs w:val="32"/>
        </w:rPr>
        <w:t>4.2.5 污染源</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基地外延5公里范围内无明显的大气污染、水体污染、土壤污染、农药污染、辐射污染等污染源。</w:t>
      </w:r>
    </w:p>
    <w:p>
      <w:pPr>
        <w:adjustRightInd w:val="0"/>
        <w:snapToGrid w:val="0"/>
        <w:spacing w:line="560" w:lineRule="exact"/>
        <w:ind w:firstLine="640" w:firstLineChars="200"/>
        <w:rPr>
          <w:rFonts w:eastAsia="方正仿宋_GBK"/>
          <w:sz w:val="32"/>
          <w:szCs w:val="32"/>
        </w:rPr>
      </w:pPr>
      <w:r>
        <w:rPr>
          <w:rFonts w:eastAsia="方正楷体_GBK"/>
          <w:sz w:val="32"/>
          <w:szCs w:val="32"/>
        </w:rPr>
        <w:t>4.3 交通条件</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基地具有良好的交通条件，连接基地的外部道路等级应达到JTG B01-2014公路工程技术标准的三级标准或以上，符合安全行车基本要求。</w:t>
      </w:r>
    </w:p>
    <w:p>
      <w:pPr>
        <w:adjustRightInd w:val="0"/>
        <w:snapToGrid w:val="0"/>
        <w:spacing w:line="560" w:lineRule="exact"/>
        <w:ind w:firstLine="640" w:firstLineChars="200"/>
        <w:rPr>
          <w:rFonts w:eastAsia="方正楷体_GBK"/>
          <w:sz w:val="32"/>
          <w:szCs w:val="32"/>
        </w:rPr>
      </w:pPr>
      <w:r>
        <w:rPr>
          <w:rFonts w:eastAsia="方正楷体_GBK"/>
          <w:sz w:val="32"/>
          <w:szCs w:val="32"/>
        </w:rPr>
        <w:t>4.4  规划和设施设备</w:t>
      </w:r>
    </w:p>
    <w:p>
      <w:pPr>
        <w:adjustRightInd w:val="0"/>
        <w:snapToGrid w:val="0"/>
        <w:spacing w:line="560" w:lineRule="exact"/>
        <w:ind w:firstLine="640" w:firstLineChars="200"/>
        <w:rPr>
          <w:rFonts w:eastAsia="方正仿宋_GBK"/>
          <w:sz w:val="32"/>
          <w:szCs w:val="32"/>
        </w:rPr>
      </w:pPr>
      <w:r>
        <w:rPr>
          <w:rFonts w:eastAsia="方正仿宋_GBK"/>
          <w:sz w:val="32"/>
          <w:szCs w:val="32"/>
        </w:rPr>
        <w:t>4.4.1 基地规划</w:t>
      </w:r>
    </w:p>
    <w:p>
      <w:pPr>
        <w:adjustRightInd w:val="0"/>
        <w:snapToGrid w:val="0"/>
        <w:spacing w:line="560" w:lineRule="exact"/>
        <w:ind w:firstLine="640" w:firstLineChars="200"/>
        <w:rPr>
          <w:rFonts w:eastAsia="方正仿宋_GBK"/>
          <w:sz w:val="32"/>
          <w:szCs w:val="32"/>
        </w:rPr>
      </w:pPr>
      <w:r>
        <w:rPr>
          <w:rFonts w:eastAsia="方正仿宋_GBK"/>
          <w:sz w:val="32"/>
          <w:szCs w:val="32"/>
        </w:rPr>
        <w:t>有森林康养基地建设规划且功能分区合理，应符合LY∕T 2935-2018 森林康养基地总体规划导则的相关规定。设立在各类自然保护地内的康养基地，其位置、功能分区、建设内容和森林康养活动等应符合自然保护地管控相应要求。</w:t>
      </w:r>
    </w:p>
    <w:p>
      <w:pPr>
        <w:adjustRightInd w:val="0"/>
        <w:snapToGrid w:val="0"/>
        <w:spacing w:line="560" w:lineRule="exact"/>
        <w:ind w:firstLine="640" w:firstLineChars="200"/>
        <w:rPr>
          <w:rFonts w:eastAsia="方正仿宋_GBK"/>
          <w:sz w:val="32"/>
          <w:szCs w:val="32"/>
        </w:rPr>
      </w:pPr>
      <w:r>
        <w:rPr>
          <w:rFonts w:eastAsia="方正仿宋_GBK"/>
          <w:sz w:val="32"/>
          <w:szCs w:val="32"/>
        </w:rPr>
        <w:t>4.4.2 康养步道</w:t>
      </w:r>
    </w:p>
    <w:p>
      <w:pPr>
        <w:adjustRightInd w:val="0"/>
        <w:snapToGrid w:val="0"/>
        <w:spacing w:line="560" w:lineRule="exact"/>
        <w:ind w:firstLine="640" w:firstLineChars="200"/>
        <w:rPr>
          <w:rFonts w:eastAsia="方正仿宋_GBK"/>
          <w:sz w:val="32"/>
          <w:szCs w:val="32"/>
        </w:rPr>
      </w:pPr>
      <w:r>
        <w:rPr>
          <w:rFonts w:eastAsia="方正仿宋_GBK"/>
          <w:sz w:val="32"/>
          <w:szCs w:val="32"/>
        </w:rPr>
        <w:t>基地内康养步道原则上不少于3公里，步道建设参照LY∕T 2790-2017 国家森林步道建设规范，主要步道宽度不得低于1m。</w:t>
      </w:r>
    </w:p>
    <w:p>
      <w:pPr>
        <w:adjustRightInd w:val="0"/>
        <w:snapToGrid w:val="0"/>
        <w:spacing w:line="560" w:lineRule="exact"/>
        <w:ind w:firstLine="640" w:firstLineChars="200"/>
        <w:rPr>
          <w:rFonts w:eastAsia="方正仿宋_GBK"/>
          <w:sz w:val="32"/>
          <w:szCs w:val="32"/>
        </w:rPr>
      </w:pPr>
      <w:r>
        <w:rPr>
          <w:rFonts w:eastAsia="方正仿宋_GBK"/>
          <w:sz w:val="32"/>
          <w:szCs w:val="32"/>
        </w:rPr>
        <w:t>4.4.3 康养设施</w:t>
      </w:r>
    </w:p>
    <w:p>
      <w:pPr>
        <w:adjustRightInd w:val="0"/>
        <w:snapToGrid w:val="0"/>
        <w:spacing w:line="560" w:lineRule="exact"/>
        <w:ind w:firstLine="640" w:firstLineChars="200"/>
        <w:rPr>
          <w:rFonts w:eastAsia="方正仿宋_GBK"/>
          <w:sz w:val="32"/>
          <w:szCs w:val="32"/>
        </w:rPr>
      </w:pPr>
      <w:r>
        <w:rPr>
          <w:rFonts w:eastAsia="方正仿宋_GBK"/>
          <w:sz w:val="32"/>
          <w:szCs w:val="32"/>
        </w:rPr>
        <w:t>康养设施种类多样，布局合理，能满足不同康养人群相关需求，详见“森林康养服务”部分。康复疗养、健康养老等特色设施设备还应具备相关管理部门或机构审批认可的资质。</w:t>
      </w:r>
    </w:p>
    <w:p>
      <w:pPr>
        <w:adjustRightInd w:val="0"/>
        <w:snapToGrid w:val="0"/>
        <w:spacing w:line="560" w:lineRule="exact"/>
        <w:ind w:firstLine="640" w:firstLineChars="200"/>
        <w:rPr>
          <w:rFonts w:eastAsia="方正仿宋_GBK"/>
          <w:sz w:val="32"/>
          <w:szCs w:val="32"/>
        </w:rPr>
      </w:pPr>
      <w:r>
        <w:rPr>
          <w:rFonts w:eastAsia="方正仿宋_GBK"/>
          <w:sz w:val="32"/>
          <w:szCs w:val="32"/>
        </w:rPr>
        <w:t>4.4.4 康养标识标牌智慧服务系统</w:t>
      </w:r>
    </w:p>
    <w:p>
      <w:pPr>
        <w:adjustRightInd w:val="0"/>
        <w:snapToGrid w:val="0"/>
        <w:spacing w:line="560" w:lineRule="exact"/>
        <w:ind w:firstLine="640" w:firstLineChars="200"/>
        <w:rPr>
          <w:rFonts w:eastAsia="方正仿宋_GBK"/>
          <w:sz w:val="32"/>
          <w:szCs w:val="32"/>
        </w:rPr>
      </w:pPr>
      <w:r>
        <w:rPr>
          <w:rFonts w:eastAsia="方正仿宋_GBK"/>
          <w:sz w:val="32"/>
          <w:szCs w:val="32"/>
        </w:rPr>
        <w:t>康养标识标牌系统完善，布局合理，能满足不同康养人群相关需求。康养标识标牌系统包括综合信息导览牌、自然教育标识牌、步道标识牌、森林运动解说牌、特色功能简介牌等，包含解说主题、正文、配图及二维码识标等内容；其中自然教育标识牌设置应符合T∕CSF 011-2019 自然教育标识设置规范的要求。智慧服务系统稳定，有手机APP下载客户端服务或实时查询的公共信息网站或微信公众号，并提供二维码扫码服务。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4.4.5 配套设施设备</w:t>
      </w:r>
    </w:p>
    <w:p>
      <w:pPr>
        <w:adjustRightInd w:val="0"/>
        <w:snapToGrid w:val="0"/>
        <w:spacing w:line="560" w:lineRule="exact"/>
        <w:ind w:firstLine="640" w:firstLineChars="200"/>
        <w:rPr>
          <w:rFonts w:eastAsia="方正仿宋_GBK"/>
          <w:sz w:val="32"/>
          <w:szCs w:val="32"/>
        </w:rPr>
      </w:pPr>
      <w:r>
        <w:rPr>
          <w:rFonts w:eastAsia="方正仿宋_GBK"/>
          <w:sz w:val="32"/>
          <w:szCs w:val="32"/>
        </w:rPr>
        <w:t>供电、给排水、通讯、接待等基础设施完善，同时配有消防（含森林消防、防火预警）、野外防护、森林病虫害防治等设施设备。</w:t>
      </w:r>
    </w:p>
    <w:p>
      <w:pPr>
        <w:adjustRightInd w:val="0"/>
        <w:snapToGrid w:val="0"/>
        <w:spacing w:line="560" w:lineRule="exact"/>
        <w:ind w:firstLine="640" w:firstLineChars="200"/>
        <w:rPr>
          <w:rFonts w:eastAsia="方正楷体_GBK"/>
          <w:sz w:val="32"/>
          <w:szCs w:val="32"/>
        </w:rPr>
      </w:pPr>
      <w:r>
        <w:rPr>
          <w:rFonts w:eastAsia="方正楷体_GBK"/>
          <w:sz w:val="32"/>
          <w:szCs w:val="32"/>
        </w:rPr>
        <w:t>4.5  管理服务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4.5.1 管理机构</w:t>
      </w:r>
    </w:p>
    <w:p>
      <w:pPr>
        <w:adjustRightInd w:val="0"/>
        <w:snapToGrid w:val="0"/>
        <w:spacing w:line="560" w:lineRule="exact"/>
        <w:ind w:firstLine="640" w:firstLineChars="200"/>
        <w:rPr>
          <w:rFonts w:eastAsia="方正仿宋_GBK"/>
          <w:sz w:val="32"/>
          <w:szCs w:val="32"/>
        </w:rPr>
      </w:pPr>
      <w:r>
        <w:rPr>
          <w:rFonts w:eastAsia="方正仿宋_GBK"/>
          <w:sz w:val="32"/>
          <w:szCs w:val="32"/>
        </w:rPr>
        <w:t>依法登记，机构健全，合法运营，信用良好。</w:t>
      </w:r>
    </w:p>
    <w:p>
      <w:pPr>
        <w:adjustRightInd w:val="0"/>
        <w:snapToGrid w:val="0"/>
        <w:spacing w:line="560" w:lineRule="exact"/>
        <w:ind w:firstLine="640" w:firstLineChars="200"/>
        <w:rPr>
          <w:rFonts w:eastAsia="方正仿宋_GBK"/>
          <w:sz w:val="32"/>
          <w:szCs w:val="32"/>
        </w:rPr>
      </w:pPr>
      <w:r>
        <w:rPr>
          <w:rFonts w:eastAsia="方正仿宋_GBK"/>
          <w:sz w:val="32"/>
          <w:szCs w:val="32"/>
        </w:rPr>
        <w:t>4.5.2 服务人员</w:t>
      </w:r>
    </w:p>
    <w:p>
      <w:pPr>
        <w:adjustRightInd w:val="0"/>
        <w:snapToGrid w:val="0"/>
        <w:spacing w:line="560" w:lineRule="exact"/>
        <w:ind w:firstLine="640" w:firstLineChars="200"/>
        <w:rPr>
          <w:rFonts w:eastAsia="方正仿宋_GBK"/>
          <w:sz w:val="32"/>
          <w:szCs w:val="32"/>
        </w:rPr>
      </w:pPr>
      <w:r>
        <w:rPr>
          <w:rFonts w:eastAsia="方正仿宋_GBK"/>
          <w:sz w:val="32"/>
          <w:szCs w:val="32"/>
        </w:rPr>
        <w:t>管理服务人员宜不低于10人，其中康养服务相关人员不低于5人。</w:t>
      </w:r>
    </w:p>
    <w:p>
      <w:pPr>
        <w:adjustRightInd w:val="0"/>
        <w:snapToGrid w:val="0"/>
        <w:spacing w:line="560" w:lineRule="exact"/>
        <w:ind w:firstLine="640" w:firstLineChars="200"/>
        <w:rPr>
          <w:rFonts w:eastAsia="方正仿宋_GBK"/>
          <w:sz w:val="32"/>
          <w:szCs w:val="32"/>
        </w:rPr>
      </w:pPr>
      <w:r>
        <w:rPr>
          <w:rFonts w:eastAsia="方正仿宋_GBK"/>
          <w:sz w:val="32"/>
          <w:szCs w:val="32"/>
        </w:rPr>
        <w:t>4.5.3 应急救援</w:t>
      </w:r>
    </w:p>
    <w:p>
      <w:pPr>
        <w:adjustRightInd w:val="0"/>
        <w:snapToGrid w:val="0"/>
        <w:spacing w:line="560" w:lineRule="exact"/>
        <w:ind w:firstLine="640" w:firstLineChars="200"/>
        <w:rPr>
          <w:rFonts w:eastAsia="方正仿宋_GBK"/>
          <w:sz w:val="32"/>
          <w:szCs w:val="32"/>
        </w:rPr>
      </w:pPr>
      <w:r>
        <w:rPr>
          <w:rFonts w:eastAsia="方正仿宋_GBK"/>
          <w:sz w:val="32"/>
          <w:szCs w:val="32"/>
        </w:rPr>
        <w:t>应具备应急救援条件，具有森林火灾、食品安全和</w:t>
      </w:r>
      <w:r>
        <w:rPr>
          <w:rFonts w:hint="eastAsia"/>
          <w:sz w:val="32"/>
          <w:szCs w:val="32"/>
          <w:lang w:eastAsia="zh-CN"/>
        </w:rPr>
        <w:t>人身</w:t>
      </w:r>
      <w:bookmarkStart w:id="20" w:name="_GoBack"/>
      <w:bookmarkEnd w:id="20"/>
      <w:r>
        <w:rPr>
          <w:rFonts w:eastAsia="方正仿宋_GBK"/>
          <w:sz w:val="32"/>
          <w:szCs w:val="32"/>
        </w:rPr>
        <w:t>安全等突发事件应急处理预案，有常备救急医疗药物并与就近医疗机构达成应急服务协议。</w:t>
      </w:r>
    </w:p>
    <w:p>
      <w:pPr>
        <w:adjustRightInd w:val="0"/>
        <w:snapToGrid w:val="0"/>
        <w:spacing w:line="560" w:lineRule="exact"/>
        <w:ind w:firstLine="640" w:firstLineChars="200"/>
        <w:outlineLvl w:val="0"/>
        <w:rPr>
          <w:rFonts w:eastAsia="方正黑体_GBK"/>
          <w:bCs/>
          <w:kern w:val="44"/>
          <w:sz w:val="32"/>
          <w:szCs w:val="32"/>
        </w:rPr>
      </w:pPr>
      <w:r>
        <w:rPr>
          <w:rFonts w:eastAsia="方正黑体_GBK"/>
          <w:bCs/>
          <w:kern w:val="44"/>
          <w:sz w:val="32"/>
          <w:szCs w:val="32"/>
        </w:rPr>
        <w:t>5  森林康养服务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康养基地应至少提供一种森林康养服务，满足康养服务的设施设备，并配备具有相应资格的专业服务人员，服务内容及质量符合相关标准或技术规范的要求。</w:t>
      </w:r>
    </w:p>
    <w:p>
      <w:pPr>
        <w:adjustRightInd w:val="0"/>
        <w:snapToGrid w:val="0"/>
        <w:spacing w:line="560" w:lineRule="exact"/>
        <w:ind w:firstLine="640" w:firstLineChars="200"/>
        <w:rPr>
          <w:rFonts w:eastAsia="方正仿宋_GBK"/>
          <w:sz w:val="32"/>
          <w:szCs w:val="32"/>
        </w:rPr>
      </w:pPr>
      <w:r>
        <w:rPr>
          <w:rFonts w:eastAsia="方正楷体_GBK"/>
          <w:sz w:val="32"/>
          <w:szCs w:val="32"/>
        </w:rPr>
        <w:t>5.1 森林生态养生服务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以普通大众群体为主要服务对象，应配置如森林浴场、露营基地、森林步道等为生态养生服务的场所及设施设备，团队应具有生态养生专业知识及服务能力，提供符合相关要求的生态养生活动、中医调理养生、森林健康食品等服务。</w:t>
      </w:r>
    </w:p>
    <w:p>
      <w:pPr>
        <w:adjustRightInd w:val="0"/>
        <w:snapToGrid w:val="0"/>
        <w:spacing w:line="560" w:lineRule="exact"/>
        <w:ind w:firstLine="640" w:firstLineChars="200"/>
        <w:rPr>
          <w:rFonts w:eastAsia="方正仿宋_GBK"/>
          <w:sz w:val="32"/>
          <w:szCs w:val="32"/>
        </w:rPr>
      </w:pPr>
      <w:r>
        <w:rPr>
          <w:rFonts w:eastAsia="方正楷体_GBK"/>
          <w:sz w:val="32"/>
          <w:szCs w:val="32"/>
        </w:rPr>
        <w:t>5.2 森林康复疗养服务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以慢性病或亚健康群体为主要服务对象，应配置如森林康复中心、康养医院、森林疗养场所、森林浴场、中医疗养馆、森林药膳馆等为康复疗养服务的场所及设施设备。团队应具有康复、疗养等相应资格和服务能力，提供符合相关要求的康复疗养计划、康复疗养活动、药膳食疗、疾病预防等服务。</w:t>
      </w:r>
    </w:p>
    <w:p>
      <w:pPr>
        <w:adjustRightInd w:val="0"/>
        <w:snapToGrid w:val="0"/>
        <w:spacing w:line="560" w:lineRule="exact"/>
        <w:ind w:firstLine="640" w:firstLineChars="200"/>
        <w:rPr>
          <w:rFonts w:eastAsia="方正仿宋_GBK"/>
          <w:sz w:val="32"/>
          <w:szCs w:val="32"/>
        </w:rPr>
      </w:pPr>
      <w:r>
        <w:rPr>
          <w:rFonts w:eastAsia="方正楷体_GBK"/>
          <w:sz w:val="32"/>
          <w:szCs w:val="32"/>
        </w:rPr>
        <w:t>5.3 森林自然教育服务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以学生群体为主要服务对象，应配置如森林博物馆、标本馆、自然观察径、植物园、昆虫园、园艺作业场等为自然教育服务的活动场所及设施设备。团队具有自然教育的专业知识及服务能力，提供符合T∕CSF 010-2019 森林类自然教育基地建设导则等相关要求的自然教育课程及实践、标本展示、动植物认知、森林生态文化体验等服务。</w:t>
      </w:r>
    </w:p>
    <w:p>
      <w:pPr>
        <w:adjustRightInd w:val="0"/>
        <w:snapToGrid w:val="0"/>
        <w:spacing w:line="560" w:lineRule="exact"/>
        <w:ind w:firstLine="640" w:firstLineChars="200"/>
        <w:rPr>
          <w:rFonts w:eastAsia="方正仿宋_GBK"/>
          <w:sz w:val="32"/>
          <w:szCs w:val="32"/>
        </w:rPr>
      </w:pPr>
      <w:r>
        <w:rPr>
          <w:rFonts w:eastAsia="方正楷体_GBK"/>
          <w:sz w:val="32"/>
          <w:szCs w:val="32"/>
        </w:rPr>
        <w:t>5.4 森林运动健身服务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以运动爱好者群体为主要服务对象，应配置如森林徒步、森林瑜伽、森林太极、骑行、攀岩、极限运动场等为运动健身服务的场所及设施设备。团队具有相应运动健身指导和服务能力，提供符合相关要求的徒步、瑜伽、攀岩等运动健身活动及运动健康指导等服务。</w:t>
      </w:r>
    </w:p>
    <w:p>
      <w:pPr>
        <w:adjustRightInd w:val="0"/>
        <w:snapToGrid w:val="0"/>
        <w:spacing w:line="560" w:lineRule="exact"/>
        <w:ind w:firstLine="640" w:firstLineChars="200"/>
        <w:rPr>
          <w:rFonts w:eastAsia="方正仿宋_GBK"/>
          <w:sz w:val="32"/>
          <w:szCs w:val="32"/>
        </w:rPr>
      </w:pPr>
      <w:r>
        <w:rPr>
          <w:rFonts w:eastAsia="方正楷体_GBK"/>
          <w:sz w:val="32"/>
          <w:szCs w:val="32"/>
        </w:rPr>
        <w:t>5.5 森林健康养老服务</w:t>
      </w:r>
    </w:p>
    <w:p>
      <w:pPr>
        <w:adjustRightInd w:val="0"/>
        <w:snapToGrid w:val="0"/>
        <w:spacing w:line="560" w:lineRule="exact"/>
        <w:ind w:firstLine="640" w:firstLineChars="200"/>
        <w:rPr>
          <w:rFonts w:eastAsia="方正仿宋_GBK"/>
          <w:sz w:val="32"/>
          <w:szCs w:val="32"/>
        </w:rPr>
      </w:pPr>
      <w:r>
        <w:rPr>
          <w:rFonts w:eastAsia="方正仿宋_GBK"/>
          <w:sz w:val="32"/>
          <w:szCs w:val="32"/>
        </w:rPr>
        <w:t>以具有生活自理能力的老年人群体为主要服务对象，应具备综合功能的养老服务机构，提供符合GBT 29353-2012 养老机构基本规范、GB∕T 35796-2017 养老机构服务质量基本规范等相关要求的生活照料、膳食、康复、护理、医疗保健、健康监测等健康养老服务。</w:t>
      </w:r>
    </w:p>
    <w:p>
      <w:pPr>
        <w:adjustRightInd w:val="0"/>
        <w:snapToGrid w:val="0"/>
        <w:spacing w:line="560" w:lineRule="exact"/>
        <w:ind w:firstLine="640" w:firstLineChars="200"/>
        <w:outlineLvl w:val="0"/>
        <w:rPr>
          <w:rFonts w:eastAsia="方正黑体_GBK"/>
          <w:bCs/>
          <w:kern w:val="44"/>
          <w:sz w:val="32"/>
          <w:szCs w:val="32"/>
        </w:rPr>
      </w:pPr>
      <w:r>
        <w:rPr>
          <w:rFonts w:eastAsia="方正黑体_GBK"/>
          <w:bCs/>
          <w:kern w:val="44"/>
          <w:sz w:val="32"/>
          <w:szCs w:val="32"/>
        </w:rPr>
        <w:t>6  申报与评选</w:t>
      </w:r>
    </w:p>
    <w:p>
      <w:pPr>
        <w:adjustRightInd w:val="0"/>
        <w:snapToGrid w:val="0"/>
        <w:spacing w:line="560" w:lineRule="exact"/>
        <w:ind w:firstLine="640" w:firstLineChars="200"/>
        <w:outlineLvl w:val="0"/>
        <w:rPr>
          <w:rFonts w:eastAsia="方正黑体_GBK"/>
          <w:bCs/>
          <w:kern w:val="44"/>
          <w:sz w:val="32"/>
          <w:szCs w:val="32"/>
        </w:rPr>
      </w:pPr>
      <w:r>
        <w:rPr>
          <w:rFonts w:eastAsia="方正楷体_GBK"/>
          <w:sz w:val="32"/>
          <w:szCs w:val="32"/>
        </w:rPr>
        <w:t>6.1 组织</w:t>
      </w:r>
    </w:p>
    <w:p>
      <w:pPr>
        <w:tabs>
          <w:tab w:val="left" w:pos="1440"/>
        </w:tabs>
        <w:adjustRightInd w:val="0"/>
        <w:snapToGrid w:val="0"/>
        <w:spacing w:line="560" w:lineRule="exact"/>
        <w:ind w:firstLine="640" w:firstLineChars="200"/>
        <w:rPr>
          <w:rFonts w:eastAsia="方正仿宋_GBK"/>
          <w:sz w:val="32"/>
          <w:szCs w:val="32"/>
        </w:rPr>
      </w:pPr>
      <w:r>
        <w:rPr>
          <w:rFonts w:eastAsia="方正仿宋_GBK"/>
          <w:sz w:val="32"/>
          <w:szCs w:val="32"/>
        </w:rPr>
        <w:t>市林业局会同市卫生健康委、市民政局等主管部门组织开展重庆市森林康养基地创建，市林学会具体负责基地申报、评选与监测评价等具体工作，原则上每年集中开展一次。</w:t>
      </w:r>
    </w:p>
    <w:p>
      <w:pPr>
        <w:tabs>
          <w:tab w:val="left" w:pos="1440"/>
        </w:tabs>
        <w:adjustRightInd w:val="0"/>
        <w:snapToGrid w:val="0"/>
        <w:spacing w:line="560" w:lineRule="exact"/>
        <w:ind w:firstLine="640" w:firstLineChars="200"/>
        <w:rPr>
          <w:rFonts w:eastAsia="方正仿宋_GBK"/>
          <w:sz w:val="32"/>
          <w:szCs w:val="32"/>
        </w:rPr>
      </w:pPr>
      <w:r>
        <w:rPr>
          <w:rFonts w:eastAsia="方正楷体_GBK"/>
          <w:sz w:val="32"/>
          <w:szCs w:val="32"/>
        </w:rPr>
        <w:t>6.2 申报</w:t>
      </w:r>
    </w:p>
    <w:p>
      <w:pPr>
        <w:adjustRightInd w:val="0"/>
        <w:snapToGrid w:val="0"/>
        <w:spacing w:line="560" w:lineRule="exact"/>
        <w:ind w:firstLine="640" w:firstLineChars="200"/>
        <w:rPr>
          <w:rFonts w:eastAsia="方正仿宋_GBK"/>
          <w:sz w:val="32"/>
          <w:szCs w:val="32"/>
        </w:rPr>
      </w:pPr>
      <w:r>
        <w:rPr>
          <w:rFonts w:eastAsia="方正仿宋_GBK"/>
          <w:sz w:val="32"/>
          <w:szCs w:val="32"/>
        </w:rPr>
        <w:t>从事森林康养的企事业单位、专业合作组织等经营主体，符合上述相关条件的，可自愿向区县林业主管部门申报重庆市森林康养基地。申报表及相关申报材料清单详见附录C、D。</w:t>
      </w:r>
    </w:p>
    <w:p>
      <w:pPr>
        <w:adjustRightInd w:val="0"/>
        <w:snapToGrid w:val="0"/>
        <w:spacing w:line="560" w:lineRule="exact"/>
        <w:ind w:firstLine="640" w:firstLineChars="200"/>
        <w:rPr>
          <w:rFonts w:eastAsia="方正仿宋_GBK"/>
          <w:sz w:val="32"/>
          <w:szCs w:val="32"/>
        </w:rPr>
      </w:pPr>
      <w:r>
        <w:rPr>
          <w:rFonts w:eastAsia="方正楷体_GBK"/>
          <w:sz w:val="32"/>
          <w:szCs w:val="32"/>
        </w:rPr>
        <w:t>6.3 推荐</w:t>
      </w:r>
    </w:p>
    <w:p>
      <w:pPr>
        <w:adjustRightInd w:val="0"/>
        <w:snapToGrid w:val="0"/>
        <w:spacing w:line="560" w:lineRule="exact"/>
        <w:ind w:firstLine="640" w:firstLineChars="200"/>
        <w:rPr>
          <w:rFonts w:eastAsia="方正仿宋_GBK"/>
          <w:sz w:val="32"/>
          <w:szCs w:val="32"/>
        </w:rPr>
      </w:pPr>
      <w:r>
        <w:rPr>
          <w:rFonts w:eastAsia="方正仿宋_GBK"/>
          <w:sz w:val="32"/>
          <w:szCs w:val="32"/>
        </w:rPr>
        <w:t>区县林业主管部门对申报材料进行审查，会同区县民政、卫生健康主管部门提出审核推荐意见，将符合条件的基地申报材料报送市林学会。</w:t>
      </w:r>
    </w:p>
    <w:p>
      <w:pPr>
        <w:adjustRightInd w:val="0"/>
        <w:snapToGrid w:val="0"/>
        <w:spacing w:line="560" w:lineRule="exact"/>
        <w:ind w:firstLine="640" w:firstLineChars="200"/>
        <w:rPr>
          <w:rFonts w:eastAsia="方正仿宋_GBK"/>
          <w:sz w:val="32"/>
          <w:szCs w:val="32"/>
        </w:rPr>
      </w:pPr>
      <w:r>
        <w:rPr>
          <w:rFonts w:eastAsia="方正楷体_GBK"/>
          <w:sz w:val="32"/>
          <w:szCs w:val="32"/>
        </w:rPr>
        <w:t>6.4 评选</w:t>
      </w:r>
    </w:p>
    <w:p>
      <w:pPr>
        <w:adjustRightInd w:val="0"/>
        <w:snapToGrid w:val="0"/>
        <w:spacing w:line="560" w:lineRule="exact"/>
        <w:ind w:firstLine="640" w:firstLineChars="200"/>
        <w:rPr>
          <w:rFonts w:eastAsia="方正仿宋_GBK"/>
          <w:sz w:val="32"/>
          <w:szCs w:val="32"/>
        </w:rPr>
      </w:pPr>
      <w:r>
        <w:rPr>
          <w:rFonts w:eastAsia="方正仿宋_GBK"/>
          <w:sz w:val="32"/>
          <w:szCs w:val="32"/>
        </w:rPr>
        <w:t>市林学会组织林业、卫生健康、中医药、养老等方面专家，按照本导则要求对推荐的森林康养基地进行评审。市林业局、市卫生健康委、市民政局三部门根据专家评审意见，提出重庆市森林康养基地建议名单，并在官方网站公示5个工作日。公示无异议后，市林业局、市卫生健康委、市民政局三部门联合发文予以公布，授“重庆市森林康养基地”牌。</w:t>
      </w:r>
    </w:p>
    <w:p>
      <w:pPr>
        <w:adjustRightInd w:val="0"/>
        <w:snapToGrid w:val="0"/>
        <w:spacing w:line="560" w:lineRule="exact"/>
        <w:ind w:firstLine="640" w:firstLineChars="200"/>
        <w:rPr>
          <w:rFonts w:eastAsia="方正仿宋_GBK"/>
          <w:sz w:val="32"/>
          <w:szCs w:val="32"/>
        </w:rPr>
      </w:pPr>
      <w:r>
        <w:rPr>
          <w:rFonts w:eastAsia="方正黑体_GBK"/>
          <w:bCs/>
          <w:kern w:val="44"/>
          <w:sz w:val="32"/>
          <w:szCs w:val="32"/>
        </w:rPr>
        <w:t>7 监督管理</w:t>
      </w:r>
    </w:p>
    <w:p>
      <w:pPr>
        <w:adjustRightInd w:val="0"/>
        <w:snapToGrid w:val="0"/>
        <w:spacing w:line="560" w:lineRule="exact"/>
        <w:ind w:firstLine="640" w:firstLineChars="200"/>
        <w:rPr>
          <w:rFonts w:eastAsia="方正仿宋_GBK"/>
          <w:sz w:val="32"/>
          <w:szCs w:val="32"/>
        </w:rPr>
      </w:pPr>
      <w:r>
        <w:rPr>
          <w:rFonts w:eastAsia="方正仿宋_GBK"/>
          <w:sz w:val="32"/>
          <w:szCs w:val="32"/>
        </w:rPr>
        <w:t>对市级森林康养基地实行动态管理，定期开展监测与评价，建立淘汰机制。林业、卫生健康、民政等主管部门按职责对基地加强管理。</w:t>
      </w:r>
    </w:p>
    <w:p>
      <w:pPr>
        <w:adjustRightInd w:val="0"/>
        <w:snapToGrid w:val="0"/>
        <w:spacing w:line="560" w:lineRule="exact"/>
        <w:ind w:firstLine="640" w:firstLineChars="200"/>
        <w:rPr>
          <w:rFonts w:eastAsia="方正仿宋_GBK"/>
          <w:sz w:val="32"/>
          <w:szCs w:val="32"/>
        </w:rPr>
      </w:pPr>
      <w:r>
        <w:rPr>
          <w:rFonts w:eastAsia="方正楷体_GBK"/>
          <w:sz w:val="32"/>
          <w:szCs w:val="32"/>
        </w:rPr>
        <w:t>7.1 监测评价</w:t>
      </w:r>
    </w:p>
    <w:p>
      <w:pPr>
        <w:adjustRightInd w:val="0"/>
        <w:snapToGrid w:val="0"/>
        <w:spacing w:line="560" w:lineRule="exact"/>
        <w:ind w:firstLine="640" w:firstLineChars="200"/>
        <w:rPr>
          <w:rFonts w:eastAsia="方正仿宋_GBK"/>
          <w:sz w:val="32"/>
          <w:szCs w:val="32"/>
        </w:rPr>
      </w:pPr>
      <w:r>
        <w:rPr>
          <w:rFonts w:eastAsia="方正仿宋_GBK"/>
          <w:sz w:val="32"/>
          <w:szCs w:val="32"/>
        </w:rPr>
        <w:t>建立森林康养基地运行监测评价制度，每2年开展一次运行监测评价。评价合格的森林康养基地优先推荐申报国家级森林康养基地。</w:t>
      </w:r>
    </w:p>
    <w:p>
      <w:pPr>
        <w:adjustRightInd w:val="0"/>
        <w:snapToGrid w:val="0"/>
        <w:spacing w:line="560" w:lineRule="exact"/>
        <w:ind w:firstLine="640" w:firstLineChars="200"/>
        <w:rPr>
          <w:rFonts w:eastAsia="方正仿宋_GBK"/>
          <w:sz w:val="32"/>
          <w:szCs w:val="32"/>
        </w:rPr>
      </w:pPr>
      <w:r>
        <w:rPr>
          <w:rFonts w:eastAsia="方正楷体_GBK"/>
          <w:sz w:val="32"/>
          <w:szCs w:val="32"/>
        </w:rPr>
        <w:t>7.2 淘汰机制</w:t>
      </w:r>
    </w:p>
    <w:p>
      <w:pPr>
        <w:adjustRightInd w:val="0"/>
        <w:snapToGrid w:val="0"/>
        <w:spacing w:line="560" w:lineRule="exact"/>
        <w:ind w:firstLine="640" w:firstLineChars="200"/>
        <w:rPr>
          <w:rFonts w:eastAsia="方正仿宋_GBK"/>
          <w:sz w:val="32"/>
          <w:szCs w:val="32"/>
        </w:rPr>
      </w:pPr>
      <w:r>
        <w:rPr>
          <w:rFonts w:eastAsia="方正仿宋_GBK"/>
          <w:sz w:val="32"/>
          <w:szCs w:val="32"/>
        </w:rPr>
        <w:t>康养基地经营主体应依据本导则和相关规范，做好基地建设与运营管理工作，对运营期间，不符合相关规定的，责令其限期整改；对整改不合格或经营期间出现重大负面影响、转产经营其他项目、因规划调整被拆迁、发生重大生态环境破坏、重大生产安全事件等情形的森林康养基地，经研究后将其从重庆市森林康养基地名录中剔除。</w:t>
      </w:r>
    </w:p>
    <w:p>
      <w:pPr>
        <w:adjustRightInd w:val="0"/>
        <w:snapToGrid w:val="0"/>
        <w:spacing w:line="594" w:lineRule="exact"/>
        <w:jc w:val="center"/>
        <w:outlineLvl w:val="1"/>
        <w:rPr>
          <w:rFonts w:eastAsia="方正小标宋_GBK"/>
          <w:bCs/>
          <w:kern w:val="44"/>
          <w:sz w:val="36"/>
          <w:szCs w:val="36"/>
        </w:rPr>
      </w:pPr>
      <w:bookmarkStart w:id="18" w:name="_Toc468697402"/>
      <w:bookmarkStart w:id="19" w:name="_Toc3148"/>
      <w:r>
        <w:rPr>
          <w:rFonts w:eastAsia="方正小标宋_GBK"/>
          <w:bCs/>
          <w:kern w:val="44"/>
          <w:sz w:val="36"/>
          <w:szCs w:val="36"/>
        </w:rPr>
        <w:t>附录A</w:t>
      </w:r>
      <w:bookmarkEnd w:id="18"/>
      <w:bookmarkEnd w:id="19"/>
      <w:r>
        <w:rPr>
          <w:rFonts w:eastAsia="方正小标宋_GBK"/>
          <w:bCs/>
          <w:kern w:val="44"/>
          <w:sz w:val="36"/>
          <w:szCs w:val="36"/>
        </w:rPr>
        <w:t xml:space="preserve"> 空气负（氧）离子浓度等级划分表</w:t>
      </w:r>
    </w:p>
    <w:tbl>
      <w:tblPr>
        <w:tblStyle w:val="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4924"/>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spacing w:line="594" w:lineRule="exact"/>
              <w:jc w:val="center"/>
              <w:rPr>
                <w:rFonts w:eastAsia="方正黑体_GBK"/>
                <w:sz w:val="24"/>
                <w:szCs w:val="22"/>
                <w:shd w:val="clear" w:color="auto" w:fill="FFFFFF"/>
              </w:rPr>
            </w:pPr>
            <w:r>
              <w:rPr>
                <w:rFonts w:eastAsia="方正黑体_GBK"/>
                <w:sz w:val="24"/>
                <w:szCs w:val="22"/>
                <w:shd w:val="clear" w:color="auto" w:fill="FFFFFF"/>
              </w:rPr>
              <w:t>等级</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spacing w:line="594" w:lineRule="exact"/>
              <w:jc w:val="center"/>
              <w:rPr>
                <w:rFonts w:eastAsia="方正黑体_GBK"/>
                <w:sz w:val="24"/>
                <w:szCs w:val="22"/>
                <w:shd w:val="clear" w:color="auto" w:fill="FFFFFF"/>
              </w:rPr>
            </w:pPr>
            <w:r>
              <w:rPr>
                <w:rFonts w:eastAsia="方正黑体_GBK"/>
                <w:sz w:val="24"/>
                <w:szCs w:val="22"/>
                <w:shd w:val="clear" w:color="auto" w:fill="FFFFFF"/>
              </w:rPr>
              <w:t>空气负（氧）离子浓度（n，个/cm3）</w:t>
            </w:r>
          </w:p>
        </w:tc>
        <w:tc>
          <w:tcPr>
            <w:tcW w:w="1867" w:type="dxa"/>
            <w:tcBorders>
              <w:top w:val="single" w:color="auto" w:sz="4" w:space="0"/>
              <w:left w:val="single" w:color="auto" w:sz="4" w:space="0"/>
              <w:bottom w:val="single" w:color="auto" w:sz="4" w:space="0"/>
              <w:right w:val="single" w:color="auto" w:sz="4" w:space="0"/>
              <w:tl2br w:val="nil"/>
              <w:tr2bl w:val="nil"/>
            </w:tcBorders>
          </w:tcPr>
          <w:p>
            <w:pPr>
              <w:widowControl w:val="0"/>
              <w:suppressAutoHyphens/>
              <w:spacing w:line="594" w:lineRule="exact"/>
              <w:jc w:val="center"/>
              <w:rPr>
                <w:rFonts w:eastAsia="方正黑体_GBK"/>
                <w:sz w:val="24"/>
                <w:szCs w:val="22"/>
                <w:shd w:val="clear" w:color="auto" w:fill="FFFFFF"/>
              </w:rPr>
            </w:pPr>
            <w:r>
              <w:rPr>
                <w:rFonts w:eastAsia="方正黑体_GBK"/>
                <w:sz w:val="24"/>
                <w:szCs w:val="2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Calibri"/>
                <w:sz w:val="24"/>
                <w:szCs w:val="20"/>
                <w:shd w:val="clear" w:color="auto" w:fill="FFFFFF"/>
              </w:rPr>
              <w:t>I</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方正仿宋_GBK"/>
                <w:sz w:val="24"/>
                <w:szCs w:val="20"/>
                <w:shd w:val="clear" w:color="auto" w:fill="FFFFFF"/>
              </w:rPr>
            </w:pPr>
            <w:r>
              <w:rPr>
                <w:rFonts w:eastAsia="方正仿宋_GBK"/>
                <w:sz w:val="24"/>
                <w:szCs w:val="20"/>
                <w:shd w:val="clear" w:color="auto" w:fill="FFFFFF"/>
              </w:rPr>
              <w:t>n≥3000</w:t>
            </w:r>
          </w:p>
        </w:tc>
        <w:tc>
          <w:tcPr>
            <w:tcW w:w="1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方正仿宋_GBK"/>
                <w:sz w:val="24"/>
                <w:szCs w:val="20"/>
                <w:shd w:val="clear" w:color="auto" w:fill="FFFFFF"/>
              </w:rPr>
            </w:pPr>
          </w:p>
          <w:p>
            <w:pPr>
              <w:spacing w:line="594" w:lineRule="exact"/>
              <w:jc w:val="center"/>
              <w:rPr>
                <w:rFonts w:eastAsia="方正仿宋_GBK"/>
                <w:sz w:val="24"/>
                <w:szCs w:val="20"/>
                <w:shd w:val="clear" w:color="auto" w:fill="FFFFFF"/>
              </w:rPr>
            </w:pPr>
            <w:r>
              <w:rPr>
                <w:rFonts w:eastAsia="方正仿宋_GBK"/>
                <w:sz w:val="24"/>
                <w:szCs w:val="20"/>
                <w:shd w:val="clear" w:color="auto" w:fill="FFFFFF"/>
              </w:rPr>
              <w:t>优</w:t>
            </w:r>
          </w:p>
          <w:p>
            <w:pPr>
              <w:spacing w:line="594" w:lineRule="exact"/>
              <w:jc w:val="center"/>
              <w:rPr>
                <w:rFonts w:eastAsia="方正仿宋_GBK"/>
                <w:sz w:val="24"/>
                <w:szCs w:val="20"/>
                <w:shd w:val="clear" w:color="auto" w:fill="FFFFFF"/>
              </w:rPr>
            </w:pPr>
            <w:r>
              <w:rPr>
                <w:lang w:val="en-US" w:eastAsia="zh-CN"/>
              </w:rPr>
              <mc:AlternateContent>
                <mc:Choice Requires="wps">
                  <w:drawing>
                    <wp:anchor distT="0" distB="0" distL="114300" distR="114300" simplePos="0" relativeHeight="1024" behindDoc="0" locked="0" layoutInCell="1" allowOverlap="1">
                      <wp:simplePos x="0" y="0"/>
                      <wp:positionH relativeFrom="column">
                        <wp:posOffset>567055</wp:posOffset>
                      </wp:positionH>
                      <wp:positionV relativeFrom="paragraph">
                        <wp:posOffset>41910</wp:posOffset>
                      </wp:positionV>
                      <wp:extent cx="635" cy="69850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98500"/>
                              </a:xfrm>
                              <a:prstGeom prst="line">
                                <a:avLst/>
                              </a:prstGeom>
                              <a:noFill/>
                              <a:ln w="9525" cap="flat" cmpd="sng">
                                <a:solidFill>
                                  <a:srgbClr val="000000"/>
                                </a:solidFill>
                                <a:prstDash val="solid"/>
                                <a:miter/>
                                <a:tailEnd type="arrow" w="med" len="med"/>
                              </a:ln>
                            </wps:spPr>
                            <wps:bodyPr vert="horz" wrap="square" lIns="91440" tIns="45720" rIns="91440" bIns="45720" anchor="t" anchorCtr="false" upright="true">
                              <a:noAutofit/>
                            </wps:bodyPr>
                          </wps:wsp>
                        </a:graphicData>
                      </a:graphic>
                    </wp:anchor>
                  </w:drawing>
                </mc:Choice>
                <mc:Fallback>
                  <w:pict>
                    <v:line id="_x0000_s1026" o:spid="_x0000_s1026" o:spt="20" style="position:absolute;left:0pt;margin-left:44.65pt;margin-top:3.3pt;height:55pt;width:0.05pt;z-index:1024;mso-width-relative:page;mso-height-relative:page;" filled="f" stroked="t" coordsize="21600,21600" o:gfxdata="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8/X4v9QAAAAHAQAADwAAAAAAAAABACAAAAA4AAAAZHJzL2Rvd25yZXYu&#10;eG1sUEsBAhQAFAAAAAgAh07iQFUZTTYiAgAACwQAAA4AAAAAAAAAAQAgAAAAOQEAAGRycy9lMm9E&#10;b2MueG1sUEsFBgAAAAAGAAYAWQEAAM0FAAAAAA==&#10;">
                      <v:fill on="f" focussize="0,0"/>
                      <v:stroke color="#000000" joinstyle="miter" endarrow="open"/>
                      <v:imagedata o:title=""/>
                      <o:lock v:ext="edit" aspectratio="f"/>
                    </v:line>
                  </w:pict>
                </mc:Fallback>
              </mc:AlternateContent>
            </w:r>
          </w:p>
          <w:p>
            <w:pPr>
              <w:spacing w:line="594" w:lineRule="exact"/>
              <w:jc w:val="center"/>
              <w:rPr>
                <w:rFonts w:eastAsia="方正仿宋_GBK"/>
                <w:sz w:val="24"/>
                <w:szCs w:val="20"/>
                <w:shd w:val="clear" w:color="auto" w:fill="FFFFFF"/>
              </w:rPr>
            </w:pPr>
          </w:p>
          <w:p>
            <w:pPr>
              <w:spacing w:line="594" w:lineRule="exact"/>
              <w:jc w:val="center"/>
              <w:rPr>
                <w:rFonts w:eastAsia="方正仿宋_GBK"/>
                <w:sz w:val="24"/>
                <w:szCs w:val="20"/>
                <w:shd w:val="clear" w:color="auto" w:fill="FFFFFF"/>
              </w:rPr>
            </w:pPr>
          </w:p>
          <w:p>
            <w:pPr>
              <w:spacing w:line="594" w:lineRule="exact"/>
              <w:jc w:val="center"/>
              <w:rPr>
                <w:rFonts w:eastAsia="方正仿宋_GBK"/>
                <w:sz w:val="24"/>
                <w:szCs w:val="20"/>
                <w:shd w:val="clear" w:color="auto" w:fill="FFFFFF"/>
              </w:rPr>
            </w:pPr>
          </w:p>
          <w:p>
            <w:pPr>
              <w:spacing w:line="594" w:lineRule="exact"/>
              <w:jc w:val="center"/>
              <w:rPr>
                <w:rFonts w:eastAsia="方正仿宋_GBK"/>
                <w:sz w:val="24"/>
                <w:szCs w:val="20"/>
                <w:shd w:val="clear" w:color="auto" w:fill="FFFFFF"/>
              </w:rPr>
            </w:pPr>
            <w:r>
              <w:rPr>
                <w:rFonts w:eastAsia="方正仿宋_GBK"/>
                <w:sz w:val="24"/>
                <w:szCs w:val="20"/>
                <w:shd w:val="clear" w:color="auto" w:fill="FFFFFF"/>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Calibri"/>
                <w:sz w:val="24"/>
                <w:szCs w:val="20"/>
                <w:shd w:val="clear" w:color="auto" w:fill="FFFFFF"/>
              </w:rPr>
              <w:t>II</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方正仿宋_GBK"/>
                <w:sz w:val="24"/>
                <w:szCs w:val="20"/>
                <w:shd w:val="clear" w:color="auto" w:fill="FFFFFF"/>
              </w:rPr>
            </w:pPr>
            <w:r>
              <w:rPr>
                <w:rFonts w:eastAsia="方正仿宋_GBK"/>
                <w:sz w:val="24"/>
                <w:szCs w:val="20"/>
                <w:shd w:val="clear" w:color="auto" w:fill="FFFFFF"/>
              </w:rPr>
              <w:t>1200</w:t>
            </w:r>
            <w:r>
              <w:rPr>
                <w:rFonts w:eastAsia="Calibri"/>
                <w:sz w:val="24"/>
                <w:szCs w:val="20"/>
                <w:shd w:val="clear" w:color="auto" w:fill="FFFFFF"/>
              </w:rPr>
              <w:t>≤</w:t>
            </w:r>
            <w:r>
              <w:rPr>
                <w:rFonts w:eastAsia="方正仿宋_GBK"/>
                <w:sz w:val="24"/>
                <w:szCs w:val="20"/>
                <w:shd w:val="clear" w:color="auto" w:fill="FFFFFF"/>
              </w:rPr>
              <w:t>n&lt;3000</w:t>
            </w:r>
          </w:p>
        </w:tc>
        <w:tc>
          <w:tcPr>
            <w:tcW w:w="1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Calibri"/>
                <w:sz w:val="24"/>
                <w:szCs w:val="20"/>
                <w:shd w:val="clear" w:color="auto" w:fill="FFFFFF"/>
              </w:rPr>
              <w:t>III</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方正仿宋_GBK"/>
                <w:sz w:val="24"/>
                <w:szCs w:val="20"/>
                <w:shd w:val="clear" w:color="auto" w:fill="FFFFFF"/>
              </w:rPr>
            </w:pPr>
            <w:r>
              <w:rPr>
                <w:rFonts w:eastAsia="方正仿宋_GBK"/>
                <w:sz w:val="24"/>
                <w:szCs w:val="20"/>
                <w:shd w:val="clear" w:color="auto" w:fill="FFFFFF"/>
              </w:rPr>
              <w:t>500</w:t>
            </w:r>
            <w:r>
              <w:rPr>
                <w:rFonts w:eastAsia="Calibri"/>
                <w:sz w:val="24"/>
                <w:szCs w:val="20"/>
                <w:shd w:val="clear" w:color="auto" w:fill="FFFFFF"/>
              </w:rPr>
              <w:t>≤</w:t>
            </w:r>
            <w:r>
              <w:rPr>
                <w:rFonts w:eastAsia="方正仿宋_GBK"/>
                <w:sz w:val="24"/>
                <w:szCs w:val="20"/>
                <w:shd w:val="clear" w:color="auto" w:fill="FFFFFF"/>
              </w:rPr>
              <w:t>n&lt;1200</w:t>
            </w:r>
          </w:p>
        </w:tc>
        <w:tc>
          <w:tcPr>
            <w:tcW w:w="1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Calibri"/>
                <w:sz w:val="24"/>
                <w:szCs w:val="20"/>
                <w:shd w:val="clear" w:color="auto" w:fill="FFFFFF"/>
              </w:rPr>
              <w:t>IV</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方正仿宋_GBK"/>
                <w:sz w:val="24"/>
                <w:szCs w:val="20"/>
                <w:shd w:val="clear" w:color="auto" w:fill="FFFFFF"/>
              </w:rPr>
              <w:t>300</w:t>
            </w:r>
            <w:r>
              <w:rPr>
                <w:rFonts w:eastAsia="Calibri"/>
                <w:sz w:val="24"/>
                <w:szCs w:val="20"/>
                <w:shd w:val="clear" w:color="auto" w:fill="FFFFFF"/>
              </w:rPr>
              <w:t>≤</w:t>
            </w:r>
            <w:r>
              <w:rPr>
                <w:rFonts w:eastAsia="方正仿宋_GBK"/>
                <w:sz w:val="24"/>
                <w:szCs w:val="20"/>
                <w:shd w:val="clear" w:color="auto" w:fill="FFFFFF"/>
              </w:rPr>
              <w:t>n&lt;500</w:t>
            </w:r>
          </w:p>
        </w:tc>
        <w:tc>
          <w:tcPr>
            <w:tcW w:w="1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Calibri"/>
                <w:sz w:val="24"/>
                <w:szCs w:val="20"/>
                <w:shd w:val="clear" w:color="auto" w:fill="FFFFFF"/>
              </w:rPr>
              <w:t>V</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方正仿宋_GBK"/>
                <w:sz w:val="24"/>
                <w:szCs w:val="20"/>
                <w:shd w:val="clear" w:color="auto" w:fill="FFFFFF"/>
              </w:rPr>
              <w:t>100</w:t>
            </w:r>
            <w:r>
              <w:rPr>
                <w:rFonts w:eastAsia="Calibri"/>
                <w:sz w:val="24"/>
                <w:szCs w:val="20"/>
                <w:shd w:val="clear" w:color="auto" w:fill="FFFFFF"/>
              </w:rPr>
              <w:t>≤</w:t>
            </w:r>
            <w:r>
              <w:rPr>
                <w:rFonts w:eastAsia="方正仿宋_GBK"/>
                <w:sz w:val="24"/>
                <w:szCs w:val="20"/>
                <w:shd w:val="clear" w:color="auto" w:fill="FFFFFF"/>
              </w:rPr>
              <w:t>n&lt;300</w:t>
            </w:r>
          </w:p>
        </w:tc>
        <w:tc>
          <w:tcPr>
            <w:tcW w:w="1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Calibri"/>
                <w:sz w:val="24"/>
                <w:szCs w:val="20"/>
                <w:shd w:val="clear" w:color="auto" w:fill="FFFFFF"/>
              </w:rPr>
              <w:t>VI</w:t>
            </w:r>
          </w:p>
        </w:tc>
        <w:tc>
          <w:tcPr>
            <w:tcW w:w="4924" w:type="dxa"/>
            <w:tcBorders>
              <w:top w:val="single" w:color="auto" w:sz="4" w:space="0"/>
              <w:left w:val="single" w:color="auto" w:sz="4" w:space="0"/>
              <w:bottom w:val="single" w:color="auto" w:sz="4" w:space="0"/>
              <w:right w:val="single" w:color="auto" w:sz="4" w:space="0"/>
              <w:tl2br w:val="nil"/>
              <w:tr2bl w:val="nil"/>
            </w:tcBorders>
            <w:vAlign w:val="center"/>
          </w:tcPr>
          <w:p>
            <w:pPr>
              <w:spacing w:line="594" w:lineRule="exact"/>
              <w:jc w:val="center"/>
              <w:rPr>
                <w:rFonts w:eastAsia="Calibri"/>
                <w:sz w:val="24"/>
                <w:szCs w:val="20"/>
                <w:shd w:val="clear" w:color="auto" w:fill="FFFFFF"/>
              </w:rPr>
            </w:pPr>
            <w:r>
              <w:rPr>
                <w:rFonts w:eastAsia="方正仿宋_GBK"/>
                <w:sz w:val="24"/>
                <w:szCs w:val="20"/>
                <w:shd w:val="clear" w:color="auto" w:fill="FFFFFF"/>
              </w:rPr>
              <w:t>&lt;100</w:t>
            </w:r>
          </w:p>
        </w:tc>
        <w:tc>
          <w:tcPr>
            <w:tcW w:w="1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bl>
    <w:p>
      <w:pPr>
        <w:spacing w:line="594" w:lineRule="exact"/>
        <w:rPr>
          <w:rFonts w:eastAsia="仿宋"/>
          <w:sz w:val="24"/>
          <w:szCs w:val="20"/>
        </w:rPr>
      </w:pPr>
    </w:p>
    <w:p>
      <w:pPr>
        <w:rPr>
          <w:rFonts w:eastAsia="黑体"/>
          <w:b/>
          <w:bCs/>
          <w:sz w:val="44"/>
        </w:rPr>
      </w:pPr>
    </w:p>
    <w:p>
      <w:pPr>
        <w:adjustRightInd w:val="0"/>
        <w:snapToGrid w:val="0"/>
        <w:spacing w:line="594" w:lineRule="exact"/>
        <w:jc w:val="center"/>
        <w:outlineLvl w:val="1"/>
        <w:rPr>
          <w:rFonts w:eastAsia="方正小标宋_GBK"/>
          <w:bCs/>
          <w:kern w:val="44"/>
          <w:sz w:val="36"/>
          <w:szCs w:val="36"/>
        </w:rPr>
      </w:pPr>
      <w:r>
        <w:rPr>
          <w:rFonts w:eastAsia="方正小标宋_GBK"/>
          <w:bCs/>
          <w:kern w:val="44"/>
          <w:sz w:val="36"/>
          <w:szCs w:val="36"/>
        </w:rPr>
        <w:t>附录B 环境空气污染物浓度限值表</w:t>
      </w:r>
    </w:p>
    <w:tbl>
      <w:tblPr>
        <w:tblStyle w:val="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548"/>
        <w:gridCol w:w="2405"/>
        <w:gridCol w:w="1703"/>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序号</w:t>
            </w:r>
          </w:p>
        </w:tc>
        <w:tc>
          <w:tcPr>
            <w:tcW w:w="15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污染物</w:t>
            </w:r>
          </w:p>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项目</w:t>
            </w:r>
          </w:p>
        </w:tc>
        <w:tc>
          <w:tcPr>
            <w:tcW w:w="24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平均时间</w:t>
            </w:r>
          </w:p>
        </w:tc>
        <w:tc>
          <w:tcPr>
            <w:tcW w:w="34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浓度限值（μg/m</w:t>
            </w:r>
            <w:r>
              <w:rPr>
                <w:rFonts w:eastAsia="方正黑体_GBK"/>
                <w:sz w:val="24"/>
                <w:szCs w:val="22"/>
                <w:shd w:val="clear" w:color="auto" w:fill="FFFFFF"/>
                <w:vertAlign w:val="superscript"/>
              </w:rPr>
              <w:t>3</w:t>
            </w:r>
            <w:r>
              <w:rPr>
                <w:rFonts w:eastAsia="方正黑体_GBK"/>
                <w:sz w:val="24"/>
                <w:szCs w:val="2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5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一级</w:t>
            </w:r>
          </w:p>
        </w:tc>
        <w:tc>
          <w:tcPr>
            <w:tcW w:w="1709"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uppressAutoHyphens/>
              <w:jc w:val="center"/>
              <w:rPr>
                <w:rFonts w:eastAsia="方正黑体_GBK"/>
                <w:sz w:val="24"/>
                <w:szCs w:val="22"/>
                <w:shd w:val="clear" w:color="auto" w:fill="FFFFFF"/>
              </w:rPr>
            </w:pPr>
            <w:r>
              <w:rPr>
                <w:rFonts w:eastAsia="方正黑体_GBK"/>
                <w:sz w:val="24"/>
                <w:szCs w:val="22"/>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1</w:t>
            </w:r>
          </w:p>
        </w:tc>
        <w:tc>
          <w:tcPr>
            <w:tcW w:w="15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PM2.5</w:t>
            </w: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年平均</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15</w:t>
            </w:r>
          </w:p>
        </w:tc>
        <w:tc>
          <w:tcPr>
            <w:tcW w:w="1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5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24小时平均</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35</w:t>
            </w:r>
          </w:p>
        </w:tc>
        <w:tc>
          <w:tcPr>
            <w:tcW w:w="1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2</w:t>
            </w:r>
          </w:p>
        </w:tc>
        <w:tc>
          <w:tcPr>
            <w:tcW w:w="15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PM10</w:t>
            </w: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年平均</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40</w:t>
            </w:r>
          </w:p>
        </w:tc>
        <w:tc>
          <w:tcPr>
            <w:tcW w:w="1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5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40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24小时平均</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50</w:t>
            </w:r>
          </w:p>
        </w:tc>
        <w:tc>
          <w:tcPr>
            <w:tcW w:w="17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eastAsia="方正仿宋_GBK"/>
                <w:sz w:val="24"/>
                <w:shd w:val="clear" w:color="auto" w:fill="FFFFFF"/>
              </w:rPr>
            </w:pPr>
            <w:r>
              <w:rPr>
                <w:rFonts w:eastAsia="方正仿宋_GBK"/>
                <w:sz w:val="24"/>
                <w:shd w:val="clear" w:color="auto" w:fill="FFFFFF"/>
              </w:rPr>
              <w:t>150</w:t>
            </w:r>
          </w:p>
        </w:tc>
      </w:tr>
    </w:tbl>
    <w:p>
      <w:pPr>
        <w:spacing w:line="594" w:lineRule="exact"/>
        <w:ind w:firstLine="480" w:firstLineChars="200"/>
        <w:rPr>
          <w:rFonts w:eastAsia="仿宋"/>
          <w:sz w:val="24"/>
          <w:szCs w:val="20"/>
        </w:rPr>
      </w:pPr>
    </w:p>
    <w:p>
      <w:pPr>
        <w:adjustRightInd w:val="0"/>
        <w:snapToGrid w:val="0"/>
        <w:spacing w:line="594" w:lineRule="exact"/>
        <w:rPr>
          <w:rFonts w:eastAsia="仿宋"/>
          <w:sz w:val="24"/>
          <w:szCs w:val="20"/>
        </w:rPr>
      </w:pPr>
    </w:p>
    <w:p>
      <w:pPr>
        <w:adjustRightInd w:val="0"/>
        <w:snapToGrid w:val="0"/>
        <w:spacing w:line="594" w:lineRule="exact"/>
        <w:jc w:val="center"/>
        <w:outlineLvl w:val="1"/>
        <w:rPr>
          <w:rFonts w:eastAsia="方正小标宋_GBK"/>
          <w:bCs/>
          <w:kern w:val="44"/>
          <w:sz w:val="36"/>
          <w:szCs w:val="36"/>
        </w:rPr>
      </w:pPr>
      <w:r>
        <w:rPr>
          <w:rFonts w:eastAsia="方正小标宋_GBK"/>
          <w:bCs/>
          <w:kern w:val="44"/>
          <w:sz w:val="36"/>
          <w:szCs w:val="36"/>
        </w:rPr>
        <w:t>附录C 森林康养基地申报表</w:t>
      </w:r>
    </w:p>
    <w:tbl>
      <w:tblPr>
        <w:tblStyle w:val="5"/>
        <w:tblW w:w="86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657"/>
        <w:gridCol w:w="2037"/>
        <w:gridCol w:w="2390"/>
        <w:gridCol w:w="55"/>
        <w:gridCol w:w="1117"/>
        <w:gridCol w:w="801"/>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申报基地名称</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申报单位</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负 责 人</w:t>
            </w:r>
          </w:p>
        </w:tc>
        <w:tc>
          <w:tcPr>
            <w:tcW w:w="23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c>
          <w:tcPr>
            <w:tcW w:w="1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联系电话</w:t>
            </w: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联 系 人</w:t>
            </w:r>
          </w:p>
        </w:tc>
        <w:tc>
          <w:tcPr>
            <w:tcW w:w="23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c>
          <w:tcPr>
            <w:tcW w:w="1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联系电话</w:t>
            </w: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传    真</w:t>
            </w:r>
          </w:p>
        </w:tc>
        <w:tc>
          <w:tcPr>
            <w:tcW w:w="23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c>
          <w:tcPr>
            <w:tcW w:w="1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电子邮箱</w:t>
            </w: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地    址</w:t>
            </w:r>
          </w:p>
        </w:tc>
        <w:tc>
          <w:tcPr>
            <w:tcW w:w="239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c>
          <w:tcPr>
            <w:tcW w:w="1172"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邮  编</w:t>
            </w:r>
          </w:p>
        </w:tc>
        <w:tc>
          <w:tcPr>
            <w:tcW w:w="238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基地地理位置</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restart"/>
            <w:tcBorders>
              <w:top w:val="single" w:color="000000" w:sz="4" w:space="0"/>
              <w:left w:val="single" w:color="000000" w:sz="4" w:space="0"/>
              <w:bottom w:val="nil"/>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资源条件</w:t>
            </w: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基地面积/hm</w:t>
            </w:r>
            <w:r>
              <w:rPr>
                <w:rFonts w:eastAsia="方正仿宋_GBK"/>
                <w:sz w:val="22"/>
                <w:szCs w:val="22"/>
                <w:vertAlign w:val="superscript"/>
              </w:rPr>
              <w:t>2</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r>
              <w:rPr>
                <w:rFonts w:eastAsia="方正仿宋_GBK"/>
                <w:sz w:val="22"/>
                <w:szCs w:val="22"/>
              </w:rPr>
              <w:t xml:space="preserve">            </w:t>
            </w: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权属性质</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nil"/>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有无权属争议</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有无违法违规</w:t>
            </w:r>
          </w:p>
          <w:p>
            <w:pPr>
              <w:jc w:val="center"/>
              <w:rPr>
                <w:rFonts w:eastAsia="方正仿宋_GBK"/>
                <w:sz w:val="22"/>
                <w:szCs w:val="22"/>
              </w:rPr>
            </w:pPr>
            <w:r>
              <w:rPr>
                <w:rFonts w:eastAsia="方正仿宋_GBK"/>
                <w:sz w:val="22"/>
                <w:szCs w:val="22"/>
              </w:rPr>
              <w:t>占用林地现象</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right"/>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nil"/>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森林覆盖率/%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r>
              <w:rPr>
                <w:rFonts w:eastAsia="方正仿宋_GBK"/>
                <w:sz w:val="22"/>
                <w:szCs w:val="22"/>
              </w:rPr>
              <w:t xml:space="preserve">         </w:t>
            </w: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毗邻区森林</w:t>
            </w:r>
          </w:p>
          <w:p>
            <w:pPr>
              <w:jc w:val="center"/>
              <w:rPr>
                <w:rFonts w:eastAsia="方正仿宋_GBK"/>
                <w:sz w:val="22"/>
                <w:szCs w:val="22"/>
              </w:rPr>
            </w:pPr>
            <w:r>
              <w:rPr>
                <w:rFonts w:eastAsia="方正仿宋_GBK"/>
                <w:sz w:val="22"/>
                <w:szCs w:val="22"/>
              </w:rPr>
              <w:t>覆盖率/%</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right"/>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nil"/>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优势树种（组）</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有无明显病虫害</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right"/>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景观资源质量</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主体功能区海拔/m</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left"/>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restart"/>
            <w:tcBorders>
              <w:top w:val="single" w:color="000000" w:sz="4" w:space="0"/>
              <w:left w:val="single" w:color="000000" w:sz="4" w:space="0"/>
              <w:bottom w:val="nil"/>
              <w:right w:val="single" w:color="000000" w:sz="4" w:space="0"/>
              <w:tl2br w:val="nil"/>
              <w:tr2bl w:val="nil"/>
            </w:tcBorders>
            <w:shd w:val="clear" w:color="000000" w:fill="FFFFFF"/>
            <w:tcMar>
              <w:left w:w="108" w:type="dxa"/>
              <w:right w:w="108" w:type="dxa"/>
            </w:tcMar>
            <w:vAlign w:val="center"/>
          </w:tcPr>
          <w:p>
            <w:pPr>
              <w:jc w:val="left"/>
              <w:rPr>
                <w:rFonts w:eastAsia="方正仿宋_GBK"/>
                <w:sz w:val="22"/>
                <w:szCs w:val="22"/>
              </w:rPr>
            </w:pPr>
            <w:r>
              <w:rPr>
                <w:rFonts w:eastAsia="方正仿宋_GBK"/>
                <w:sz w:val="22"/>
                <w:szCs w:val="22"/>
              </w:rPr>
              <w:t>环境条件</w:t>
            </w: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负离子浓度个/cm</w:t>
            </w:r>
            <w:r>
              <w:rPr>
                <w:rFonts w:eastAsia="方正仿宋_GBK"/>
                <w:sz w:val="22"/>
                <w:szCs w:val="22"/>
                <w:vertAlign w:val="superscript"/>
              </w:rPr>
              <w:t>3</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PM2.5浓度/ μg/m</w:t>
            </w:r>
            <w:r>
              <w:rPr>
                <w:rFonts w:eastAsia="方正仿宋_GBK"/>
                <w:sz w:val="22"/>
                <w:szCs w:val="22"/>
                <w:vertAlign w:val="superscript"/>
              </w:rPr>
              <w:t>3</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PM10浓度/ μg/m</w:t>
            </w:r>
            <w:r>
              <w:rPr>
                <w:rFonts w:eastAsia="方正仿宋_GBK"/>
                <w:sz w:val="22"/>
                <w:szCs w:val="22"/>
                <w:vertAlign w:val="superscript"/>
              </w:rPr>
              <w:t>3</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饮用水质量</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single" w:color="auto"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地表水等级</w:t>
            </w:r>
          </w:p>
        </w:tc>
        <w:tc>
          <w:tcPr>
            <w:tcW w:w="2445" w:type="dxa"/>
            <w:gridSpan w:val="2"/>
            <w:tcBorders>
              <w:top w:val="single" w:color="000000"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生活污水</w:t>
            </w:r>
          </w:p>
          <w:p>
            <w:pPr>
              <w:jc w:val="center"/>
              <w:rPr>
                <w:rFonts w:eastAsia="方正仿宋_GBK"/>
                <w:sz w:val="22"/>
                <w:szCs w:val="22"/>
              </w:rPr>
            </w:pPr>
            <w:r>
              <w:rPr>
                <w:rFonts w:eastAsia="方正仿宋_GBK"/>
                <w:sz w:val="22"/>
                <w:szCs w:val="22"/>
              </w:rPr>
              <w:t>处理情况</w:t>
            </w:r>
          </w:p>
        </w:tc>
        <w:tc>
          <w:tcPr>
            <w:tcW w:w="1585" w:type="dxa"/>
            <w:tcBorders>
              <w:top w:val="single" w:color="000000"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restart"/>
            <w:tcBorders>
              <w:top w:val="single" w:color="auto" w:sz="4" w:space="0"/>
              <w:left w:val="single" w:color="000000" w:sz="4" w:space="0"/>
              <w:bottom w:val="nil"/>
              <w:right w:val="single" w:color="000000" w:sz="4" w:space="0"/>
              <w:tl2br w:val="nil"/>
              <w:tr2bl w:val="nil"/>
            </w:tcBorders>
            <w:shd w:val="clear" w:color="000000" w:fill="FFFFFF"/>
            <w:tcMar>
              <w:left w:w="108" w:type="dxa"/>
              <w:right w:w="108" w:type="dxa"/>
            </w:tcMar>
            <w:vAlign w:val="center"/>
          </w:tcPr>
          <w:p>
            <w:pPr>
              <w:jc w:val="left"/>
              <w:rPr>
                <w:rFonts w:eastAsia="方正仿宋_GBK"/>
                <w:sz w:val="22"/>
                <w:szCs w:val="22"/>
              </w:rPr>
            </w:p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有无安全隐患</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生活垃圾</w:t>
            </w:r>
          </w:p>
          <w:p>
            <w:pPr>
              <w:jc w:val="center"/>
              <w:rPr>
                <w:rFonts w:eastAsia="方正仿宋_GBK"/>
                <w:sz w:val="22"/>
                <w:szCs w:val="22"/>
              </w:rPr>
            </w:pPr>
            <w:r>
              <w:rPr>
                <w:rFonts w:eastAsia="方正仿宋_GBK"/>
                <w:sz w:val="22"/>
                <w:szCs w:val="22"/>
              </w:rPr>
              <w:t>处理情况</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single" w:color="auto"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有无污染源</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632" w:hRule="atLeast"/>
          <w:jc w:val="center"/>
        </w:trPr>
        <w:tc>
          <w:tcPr>
            <w:tcW w:w="65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交通条件</w:t>
            </w: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距离城区车程</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基地外部道路</w:t>
            </w:r>
          </w:p>
          <w:p>
            <w:pPr>
              <w:jc w:val="center"/>
              <w:rPr>
                <w:rFonts w:eastAsia="方正仿宋_GBK"/>
                <w:sz w:val="22"/>
                <w:szCs w:val="22"/>
              </w:rPr>
            </w:pPr>
            <w:r>
              <w:rPr>
                <w:rFonts w:eastAsia="方正仿宋_GBK"/>
                <w:sz w:val="22"/>
                <w:szCs w:val="22"/>
              </w:rPr>
              <w:t>等级</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restart"/>
            <w:tcBorders>
              <w:top w:val="single" w:color="000000" w:sz="4" w:space="0"/>
              <w:left w:val="single" w:color="000000" w:sz="4" w:space="0"/>
              <w:bottom w:val="nil"/>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规划及设施</w:t>
            </w: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森林康养基地规划</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是否在自然保护地内</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nil"/>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森林步道/km</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标识标牌系统</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 xml:space="preserve"> 医疗服务协议</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restart"/>
            <w:tcBorders>
              <w:top w:val="single" w:color="000000" w:sz="4" w:space="0"/>
              <w:left w:val="single" w:color="000000" w:sz="4" w:space="0"/>
              <w:bottom w:val="nil"/>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管理服务</w:t>
            </w: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管理机构</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信用情况</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4" w:hRule="atLeast"/>
          <w:jc w:val="center"/>
        </w:trPr>
        <w:tc>
          <w:tcPr>
            <w:tcW w:w="657" w:type="dxa"/>
            <w:vMerge w:val="continue"/>
            <w:tcBorders>
              <w:top w:val="nil"/>
              <w:left w:val="single" w:color="000000" w:sz="4" w:space="0"/>
              <w:bottom w:val="nil"/>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管理服务人员/人</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康养服务人员/人</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31" w:hRule="atLeast"/>
          <w:jc w:val="center"/>
        </w:trPr>
        <w:tc>
          <w:tcPr>
            <w:tcW w:w="657" w:type="dxa"/>
            <w:vMerge w:val="continue"/>
            <w:tcBorders>
              <w:top w:val="nil"/>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年接待能力/人次</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r>
              <w:rPr>
                <w:rFonts w:eastAsia="方正仿宋_GBK"/>
                <w:sz w:val="22"/>
                <w:szCs w:val="22"/>
              </w:rPr>
              <w:t xml:space="preserve">     </w:t>
            </w:r>
          </w:p>
        </w:tc>
        <w:tc>
          <w:tcPr>
            <w:tcW w:w="1918" w:type="dxa"/>
            <w:gridSpan w:val="2"/>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应急救援能力</w:t>
            </w:r>
          </w:p>
        </w:tc>
        <w:tc>
          <w:tcPr>
            <w:tcW w:w="1585"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34" w:hRule="atLeast"/>
          <w:jc w:val="center"/>
        </w:trPr>
        <w:tc>
          <w:tcPr>
            <w:tcW w:w="657" w:type="dxa"/>
            <w:vMerge w:val="restart"/>
            <w:tcBorders>
              <w:top w:val="single" w:color="000000" w:sz="4" w:space="0"/>
              <w:left w:val="single" w:color="000000" w:sz="4" w:space="0"/>
              <w:bottom w:val="nil"/>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森林康养服务概况</w:t>
            </w: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保健养生服务概况</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34" w:hRule="atLeast"/>
          <w:jc w:val="center"/>
        </w:trPr>
        <w:tc>
          <w:tcPr>
            <w:tcW w:w="657" w:type="dxa"/>
            <w:vMerge w:val="continue"/>
            <w:tcBorders>
              <w:top w:val="nil"/>
              <w:left w:val="single" w:color="000000" w:sz="4" w:space="0"/>
              <w:bottom w:val="nil"/>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康复疗养服务概况</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34" w:hRule="atLeast"/>
          <w:jc w:val="center"/>
        </w:trPr>
        <w:tc>
          <w:tcPr>
            <w:tcW w:w="657" w:type="dxa"/>
            <w:vMerge w:val="continue"/>
            <w:tcBorders>
              <w:top w:val="nil"/>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自然教育服务概况</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34" w:hRule="atLeast"/>
          <w:jc w:val="center"/>
        </w:trPr>
        <w:tc>
          <w:tcPr>
            <w:tcW w:w="657" w:type="dxa"/>
            <w:vMerge w:val="continue"/>
            <w:tcBorders>
              <w:top w:val="single" w:color="auto"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tc>
        <w:tc>
          <w:tcPr>
            <w:tcW w:w="2037" w:type="dxa"/>
            <w:tcBorders>
              <w:top w:val="single" w:color="000000"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运动健身服务概况</w:t>
            </w:r>
          </w:p>
        </w:tc>
        <w:tc>
          <w:tcPr>
            <w:tcW w:w="5948" w:type="dxa"/>
            <w:gridSpan w:val="5"/>
            <w:tcBorders>
              <w:top w:val="single" w:color="000000" w:sz="4" w:space="0"/>
              <w:left w:val="single" w:color="000000" w:sz="4" w:space="0"/>
              <w:bottom w:val="single" w:color="auto"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34" w:hRule="atLeast"/>
          <w:jc w:val="center"/>
        </w:trPr>
        <w:tc>
          <w:tcPr>
            <w:tcW w:w="657" w:type="dxa"/>
            <w:tcBorders>
              <w:top w:val="single" w:color="auto"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p>
        </w:tc>
        <w:tc>
          <w:tcPr>
            <w:tcW w:w="2037" w:type="dxa"/>
            <w:tcBorders>
              <w:top w:val="single" w:color="auto"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vAlign w:val="center"/>
          </w:tcPr>
          <w:p>
            <w:pPr>
              <w:jc w:val="center"/>
              <w:rPr>
                <w:rFonts w:eastAsia="方正仿宋_GBK"/>
                <w:sz w:val="22"/>
                <w:szCs w:val="22"/>
              </w:rPr>
            </w:pPr>
            <w:r>
              <w:rPr>
                <w:rFonts w:eastAsia="方正仿宋_GBK"/>
                <w:sz w:val="22"/>
                <w:szCs w:val="22"/>
              </w:rPr>
              <w:t>健康养老服务概况</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shd w:val="clear" w:color="000000" w:fill="FFFFFF"/>
            <w:tcMar>
              <w:left w:w="108" w:type="dxa"/>
              <w:right w:w="108" w:type="dxa"/>
            </w:tcMar>
          </w:tcPr>
          <w:p>
            <w:pPr>
              <w:jc w:val="center"/>
              <w:rPr>
                <w:rFonts w:eastAsia="方正仿宋_GBK"/>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521"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区县林业主管部门</w:t>
            </w:r>
          </w:p>
          <w:p>
            <w:pPr>
              <w:jc w:val="center"/>
              <w:rPr>
                <w:rFonts w:eastAsia="方正仿宋_GBK"/>
                <w:sz w:val="22"/>
                <w:szCs w:val="22"/>
              </w:rPr>
            </w:pPr>
            <w:r>
              <w:rPr>
                <w:rFonts w:eastAsia="方正仿宋_GBK"/>
                <w:sz w:val="22"/>
                <w:szCs w:val="22"/>
              </w:rPr>
              <w:t>推荐意见</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r>
              <w:rPr>
                <w:rFonts w:eastAsia="方正仿宋_GBK"/>
                <w:sz w:val="22"/>
                <w:szCs w:val="22"/>
              </w:rPr>
              <w:t>（盖章）</w:t>
            </w:r>
          </w:p>
          <w:p>
            <w:pPr>
              <w:jc w:val="center"/>
              <w:rPr>
                <w:rFonts w:eastAsia="方正仿宋_GBK"/>
                <w:sz w:val="22"/>
                <w:szCs w:val="22"/>
              </w:rPr>
            </w:pPr>
            <w:r>
              <w:rPr>
                <w:rFonts w:eastAsia="方正仿宋_GBK"/>
                <w:sz w:val="22"/>
                <w:szCs w:val="22"/>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692"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区县民政主管部门</w:t>
            </w:r>
          </w:p>
          <w:p>
            <w:pPr>
              <w:jc w:val="center"/>
              <w:rPr>
                <w:rFonts w:eastAsia="方正仿宋_GBK"/>
                <w:sz w:val="22"/>
                <w:szCs w:val="22"/>
              </w:rPr>
            </w:pPr>
            <w:r>
              <w:rPr>
                <w:rFonts w:eastAsia="方正仿宋_GBK"/>
                <w:sz w:val="22"/>
                <w:szCs w:val="22"/>
              </w:rPr>
              <w:t>推荐意见</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r>
              <w:rPr>
                <w:rFonts w:eastAsia="方正仿宋_GBK"/>
                <w:sz w:val="22"/>
                <w:szCs w:val="22"/>
              </w:rPr>
              <w:t>（盖章）</w:t>
            </w:r>
          </w:p>
          <w:p>
            <w:pPr>
              <w:jc w:val="center"/>
              <w:rPr>
                <w:rFonts w:eastAsia="方正仿宋_GBK"/>
                <w:sz w:val="22"/>
                <w:szCs w:val="22"/>
              </w:rPr>
            </w:pPr>
            <w:r>
              <w:rPr>
                <w:rFonts w:eastAsia="方正仿宋_GBK"/>
                <w:sz w:val="22"/>
                <w:szCs w:val="22"/>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953" w:hRule="atLeast"/>
          <w:jc w:val="center"/>
        </w:trPr>
        <w:tc>
          <w:tcPr>
            <w:tcW w:w="26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r>
              <w:rPr>
                <w:rFonts w:eastAsia="方正仿宋_GBK"/>
                <w:sz w:val="22"/>
                <w:szCs w:val="22"/>
              </w:rPr>
              <w:t>区县卫生健康主管部门</w:t>
            </w:r>
          </w:p>
          <w:p>
            <w:pPr>
              <w:jc w:val="center"/>
              <w:rPr>
                <w:rFonts w:eastAsia="方正仿宋_GBK"/>
                <w:sz w:val="22"/>
                <w:szCs w:val="22"/>
              </w:rPr>
            </w:pPr>
            <w:r>
              <w:rPr>
                <w:rFonts w:eastAsia="方正仿宋_GBK"/>
                <w:sz w:val="22"/>
                <w:szCs w:val="22"/>
              </w:rPr>
              <w:t>推荐意见</w:t>
            </w:r>
          </w:p>
        </w:tc>
        <w:tc>
          <w:tcPr>
            <w:tcW w:w="5948"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p>
          <w:p>
            <w:pPr>
              <w:jc w:val="center"/>
              <w:rPr>
                <w:rFonts w:eastAsia="方正仿宋_GBK"/>
                <w:sz w:val="22"/>
                <w:szCs w:val="22"/>
              </w:rPr>
            </w:pPr>
            <w:r>
              <w:rPr>
                <w:rFonts w:eastAsia="方正仿宋_GBK"/>
                <w:sz w:val="22"/>
                <w:szCs w:val="22"/>
              </w:rPr>
              <w:t>（盖章）</w:t>
            </w:r>
          </w:p>
          <w:p>
            <w:pPr>
              <w:jc w:val="center"/>
              <w:rPr>
                <w:rFonts w:eastAsia="方正仿宋_GBK"/>
                <w:sz w:val="22"/>
                <w:szCs w:val="22"/>
              </w:rPr>
            </w:pPr>
            <w:r>
              <w:rPr>
                <w:rFonts w:eastAsia="方正仿宋_GBK"/>
                <w:sz w:val="22"/>
                <w:szCs w:val="22"/>
              </w:rPr>
              <w:t xml:space="preserve">                                      年   月    日</w:t>
            </w:r>
          </w:p>
        </w:tc>
      </w:tr>
    </w:tbl>
    <w:p>
      <w:pPr>
        <w:adjustRightInd w:val="0"/>
        <w:snapToGrid w:val="0"/>
        <w:spacing w:line="594" w:lineRule="exact"/>
        <w:jc w:val="center"/>
        <w:outlineLvl w:val="1"/>
        <w:rPr>
          <w:rFonts w:eastAsia="方正小标宋_GBK"/>
          <w:bCs/>
          <w:kern w:val="44"/>
          <w:sz w:val="36"/>
          <w:szCs w:val="36"/>
        </w:rPr>
      </w:pPr>
    </w:p>
    <w:p>
      <w:pPr>
        <w:adjustRightInd w:val="0"/>
        <w:snapToGrid w:val="0"/>
        <w:spacing w:line="594" w:lineRule="exact"/>
        <w:jc w:val="center"/>
        <w:outlineLvl w:val="1"/>
        <w:rPr>
          <w:rFonts w:eastAsia="方正小标宋_GBK"/>
          <w:bCs/>
          <w:kern w:val="44"/>
          <w:sz w:val="36"/>
          <w:szCs w:val="36"/>
        </w:rPr>
      </w:pPr>
    </w:p>
    <w:p>
      <w:pPr>
        <w:adjustRightInd w:val="0"/>
        <w:snapToGrid w:val="0"/>
        <w:spacing w:line="594" w:lineRule="exact"/>
        <w:jc w:val="center"/>
        <w:outlineLvl w:val="1"/>
        <w:rPr>
          <w:rFonts w:eastAsia="方正小标宋_GBK"/>
          <w:bCs/>
          <w:kern w:val="44"/>
          <w:sz w:val="36"/>
          <w:szCs w:val="36"/>
        </w:rPr>
      </w:pPr>
      <w:r>
        <w:rPr>
          <w:rFonts w:eastAsia="方正小标宋_GBK"/>
          <w:bCs/>
          <w:kern w:val="44"/>
          <w:sz w:val="36"/>
          <w:szCs w:val="36"/>
        </w:rPr>
        <w:t>附录D 森林康养基地申报材料清单</w:t>
      </w:r>
    </w:p>
    <w:p>
      <w:pPr>
        <w:adjustRightInd w:val="0"/>
        <w:snapToGrid w:val="0"/>
        <w:spacing w:before="436" w:beforeLines="100" w:line="560" w:lineRule="exact"/>
        <w:ind w:firstLine="560" w:firstLineChars="200"/>
        <w:rPr>
          <w:rFonts w:eastAsia="方正仿宋_GBK"/>
        </w:rPr>
      </w:pPr>
      <w:r>
        <w:rPr>
          <w:rFonts w:eastAsia="方正仿宋_GBK"/>
          <w:sz w:val="28"/>
        </w:rPr>
        <w:t>1.森林康养基地申报表；</w:t>
      </w:r>
    </w:p>
    <w:p>
      <w:pPr>
        <w:adjustRightInd w:val="0"/>
        <w:snapToGrid w:val="0"/>
        <w:spacing w:line="560" w:lineRule="exact"/>
        <w:ind w:firstLine="560" w:firstLineChars="200"/>
        <w:rPr>
          <w:rFonts w:eastAsia="方正仿宋_GBK"/>
        </w:rPr>
      </w:pPr>
      <w:r>
        <w:rPr>
          <w:rFonts w:eastAsia="方正仿宋_GBK"/>
          <w:sz w:val="28"/>
        </w:rPr>
        <w:t>2.申报单位营业执照或组织机构代码证；</w:t>
      </w:r>
    </w:p>
    <w:p>
      <w:pPr>
        <w:adjustRightInd w:val="0"/>
        <w:snapToGrid w:val="0"/>
        <w:spacing w:line="560" w:lineRule="exact"/>
        <w:ind w:firstLine="560" w:firstLineChars="200"/>
        <w:rPr>
          <w:rFonts w:eastAsia="方正仿宋_GBK"/>
        </w:rPr>
      </w:pPr>
      <w:r>
        <w:rPr>
          <w:rFonts w:eastAsia="方正仿宋_GBK"/>
          <w:sz w:val="28"/>
        </w:rPr>
        <w:t>3.森林康养基地建设规划；</w:t>
      </w:r>
    </w:p>
    <w:p>
      <w:pPr>
        <w:adjustRightInd w:val="0"/>
        <w:snapToGrid w:val="0"/>
        <w:spacing w:line="560" w:lineRule="exact"/>
        <w:ind w:firstLine="560" w:firstLineChars="200"/>
        <w:rPr>
          <w:rFonts w:eastAsia="方正仿宋_GBK"/>
        </w:rPr>
      </w:pPr>
      <w:r>
        <w:rPr>
          <w:rFonts w:eastAsia="方正仿宋_GBK"/>
          <w:sz w:val="28"/>
        </w:rPr>
        <w:t>4.相关资质单位编制的空气质量监测报告、水质检测报告；</w:t>
      </w:r>
    </w:p>
    <w:p>
      <w:pPr>
        <w:adjustRightInd w:val="0"/>
        <w:snapToGrid w:val="0"/>
        <w:spacing w:line="560" w:lineRule="exact"/>
        <w:ind w:firstLine="560" w:firstLineChars="200"/>
        <w:rPr>
          <w:rFonts w:eastAsia="方正仿宋_GBK"/>
        </w:rPr>
      </w:pPr>
      <w:r>
        <w:rPr>
          <w:rFonts w:eastAsia="方正仿宋_GBK"/>
          <w:sz w:val="28"/>
        </w:rPr>
        <w:t>5.土地使用权属、规模证明材料；</w:t>
      </w:r>
    </w:p>
    <w:p>
      <w:pPr>
        <w:adjustRightInd w:val="0"/>
        <w:snapToGrid w:val="0"/>
        <w:spacing w:line="560" w:lineRule="exact"/>
        <w:ind w:firstLine="560" w:firstLineChars="200"/>
        <w:rPr>
          <w:rFonts w:eastAsia="方正仿宋_GBK"/>
        </w:rPr>
      </w:pPr>
      <w:r>
        <w:rPr>
          <w:rFonts w:eastAsia="方正仿宋_GBK"/>
          <w:sz w:val="28"/>
        </w:rPr>
        <w:t>6.基地运营管理、服务情况材料等；</w:t>
      </w:r>
    </w:p>
    <w:p>
      <w:pPr>
        <w:adjustRightInd w:val="0"/>
        <w:snapToGrid w:val="0"/>
        <w:spacing w:line="560" w:lineRule="exact"/>
        <w:ind w:firstLine="560" w:firstLineChars="200"/>
        <w:rPr>
          <w:rFonts w:eastAsia="方正仿宋_GBK"/>
        </w:rPr>
      </w:pPr>
      <w:r>
        <w:rPr>
          <w:rFonts w:eastAsia="方正仿宋_GBK"/>
          <w:sz w:val="28"/>
        </w:rPr>
        <w:t>7.相关影像资料。</w:t>
      </w:r>
    </w:p>
    <w:p>
      <w:pPr>
        <w:spacing w:line="594" w:lineRule="exact"/>
        <w:ind w:firstLine="480" w:firstLineChars="200"/>
        <w:rPr>
          <w:rFonts w:eastAsia="仿宋"/>
          <w:sz w:val="24"/>
          <w:szCs w:val="20"/>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pPr>
        <w:spacing w:line="594" w:lineRule="exact"/>
        <w:rPr>
          <w:rFonts w:eastAsia="仿宋"/>
          <w:b/>
          <w:bCs/>
          <w:sz w:val="24"/>
        </w:rPr>
      </w:pPr>
    </w:p>
    <w:p/>
    <w:sectPr>
      <w:pgSz w:w="11907" w:h="16839"/>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auto"/>
    <w:pitch w:val="default"/>
    <w:sig w:usb0="00000000" w:usb1="00000000" w:usb2="00000008" w:usb3="00000000" w:csb0="400001FF" w:csb1="FFFF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E9A473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ompany>
  <Pages>1</Pages>
  <Words>17</Words>
  <Characters>17</Characters>
  <Lines>1</Lines>
  <Paragraphs>1</Paragraphs>
  <TotalTime>0</TotalTime>
  <ScaleCrop>false</ScaleCrop>
  <LinksUpToDate>false</LinksUpToDate>
  <CharactersWithSpaces>17</CharactersWithSpaces>
  <Application>WPS Office_11.8.2.9793_F1E327BC-269C-435d-A152-05C5408002CA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2021-12-09T10:39:00Z</dcterms:created>
  <dc:creator>Windows 用户</dc:creator>
  <cp:lastModifiedBy>区林业局</cp:lastModifiedBy>
  <dcterms:modified xsi:type="dcterms:W3CDTF">2023-12-13T11:04:23Z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