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spacing w:line="579" w:lineRule="exact"/>
        <w:ind w:left="0" w:right="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重庆市江津区云雾坪林场</w:t>
      </w:r>
    </w:p>
    <w:p>
      <w:pPr>
        <w:keepNext w:val="0"/>
        <w:keepLines w:val="0"/>
        <w:pageBreakBefore w:val="0"/>
        <w:kinsoku/>
        <w:wordWrap/>
        <w:overflowPunct/>
        <w:topLinePunct w:val="0"/>
        <w:autoSpaceDN/>
        <w:bidi w:val="0"/>
        <w:snapToGrid/>
        <w:spacing w:line="579" w:lineRule="exact"/>
        <w:ind w:left="0" w:right="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w:t>
      </w:r>
      <w:r>
        <w:rPr>
          <w:rFonts w:hint="eastAsia" w:ascii="Times New Roman" w:hAnsi="Times New Roman" w:eastAsia="方正小标宋_GBK" w:cs="方正小标宋_GBK"/>
          <w:sz w:val="44"/>
          <w:szCs w:val="44"/>
          <w:lang w:val="en-US" w:eastAsia="zh-CN"/>
        </w:rPr>
        <w:t>4年度决算公开</w:t>
      </w:r>
      <w:r>
        <w:rPr>
          <w:rFonts w:hint="eastAsia" w:ascii="Times New Roman" w:hAnsi="Times New Roman" w:eastAsia="方正小标宋_GBK" w:cs="方正小标宋_GBK"/>
          <w:sz w:val="44"/>
          <w:szCs w:val="44"/>
        </w:rPr>
        <w:t>说明</w:t>
      </w:r>
    </w:p>
    <w:p>
      <w:pPr>
        <w:keepNext w:val="0"/>
        <w:keepLines w:val="0"/>
        <w:pageBreakBefore w:val="0"/>
        <w:kinsoku/>
        <w:wordWrap/>
        <w:overflowPunct/>
        <w:topLinePunct w:val="0"/>
        <w:autoSpaceDN/>
        <w:bidi w:val="0"/>
        <w:snapToGrid/>
        <w:spacing w:line="579" w:lineRule="exact"/>
        <w:ind w:left="0" w:right="0" w:firstLine="1100" w:firstLineChars="250"/>
        <w:textAlignment w:val="auto"/>
        <w:rPr>
          <w:rFonts w:hint="eastAsia" w:ascii="Times New Roman" w:hAnsi="Times New Roman" w:eastAsia="方正仿宋_GBK" w:cs="方正仿宋_GBK"/>
          <w:sz w:val="44"/>
          <w:szCs w:val="44"/>
        </w:rPr>
      </w:pP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outlineLvl w:val="1"/>
        <w:rPr>
          <w:rFonts w:hint="eastAsia" w:ascii="Times New Roman" w:hAnsi="Times New Roman" w:eastAsia="方正楷体_GBK" w:cs="方正楷体_GBK"/>
          <w:kern w:val="0"/>
          <w:sz w:val="32"/>
          <w:szCs w:val="32"/>
          <w:lang w:val="en-US" w:eastAsia="zh-CN"/>
        </w:rPr>
      </w:pP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一</w:t>
      </w:r>
      <w:r>
        <w:rPr>
          <w:rFonts w:hint="eastAsia" w:ascii="Times New Roman" w:hAnsi="Times New Roman" w:eastAsia="方正楷体_GBK" w:cs="方正楷体_GBK"/>
          <w:kern w:val="0"/>
          <w:sz w:val="32"/>
          <w:szCs w:val="32"/>
          <w:lang w:eastAsia="zh-CN"/>
        </w:rPr>
        <w:t>）</w:t>
      </w:r>
      <w:r>
        <w:rPr>
          <w:rFonts w:hint="eastAsia" w:ascii="Times New Roman" w:hAnsi="Times New Roman" w:eastAsia="方正楷体_GBK" w:cs="方正楷体_GBK"/>
          <w:kern w:val="0"/>
          <w:sz w:val="32"/>
          <w:szCs w:val="32"/>
          <w:lang w:val="en-US" w:eastAsia="zh-CN"/>
        </w:rPr>
        <w:t>职能职责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1"/>
        <w:rPr>
          <w:rFonts w:hint="eastAsia" w:ascii="Times New Roman" w:hAnsi="Times New Roman" w:eastAsia="方正仿宋_GBK" w:cs="方正楷体_GBK"/>
          <w:kern w:val="0"/>
          <w:sz w:val="32"/>
          <w:szCs w:val="32"/>
          <w:lang w:val="en-US" w:eastAsia="zh-CN"/>
        </w:rPr>
      </w:pPr>
      <w:r>
        <w:rPr>
          <w:rFonts w:hint="eastAsia" w:eastAsia="方正仿宋_GBK" w:cs="方正楷体_GBK"/>
          <w:kern w:val="0"/>
          <w:sz w:val="32"/>
          <w:szCs w:val="32"/>
          <w:lang w:val="en-US" w:eastAsia="zh-CN"/>
        </w:rPr>
        <w:t>1.</w:t>
      </w:r>
      <w:r>
        <w:rPr>
          <w:rFonts w:hint="eastAsia" w:ascii="Times New Roman" w:hAnsi="Times New Roman" w:eastAsia="方正仿宋_GBK" w:cs="方正楷体_GBK"/>
          <w:kern w:val="0"/>
          <w:sz w:val="32"/>
          <w:szCs w:val="32"/>
          <w:lang w:val="en-US" w:eastAsia="zh-CN"/>
        </w:rPr>
        <w:t>宣传贯彻有关森林生态环境建设、森林防火、林区安全、森林资源保护和国土绿化等方针政策和法律法规。</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1"/>
        <w:rPr>
          <w:rFonts w:hint="eastAsia" w:ascii="Times New Roman" w:hAnsi="Times New Roman" w:eastAsia="方正仿宋_GBK" w:cs="方正楷体_GBK"/>
          <w:kern w:val="0"/>
          <w:sz w:val="32"/>
          <w:szCs w:val="32"/>
          <w:lang w:val="en-US" w:eastAsia="zh-CN"/>
        </w:rPr>
      </w:pPr>
      <w:r>
        <w:rPr>
          <w:rFonts w:hint="eastAsia" w:eastAsia="方正仿宋_GBK" w:cs="方正楷体_GBK"/>
          <w:kern w:val="0"/>
          <w:sz w:val="32"/>
          <w:szCs w:val="32"/>
          <w:lang w:val="en-US" w:eastAsia="zh-CN"/>
        </w:rPr>
        <w:t>2.</w:t>
      </w:r>
      <w:r>
        <w:rPr>
          <w:rFonts w:hint="eastAsia" w:ascii="Times New Roman" w:hAnsi="Times New Roman" w:eastAsia="方正仿宋_GBK" w:cs="方正楷体_GBK"/>
          <w:kern w:val="0"/>
          <w:sz w:val="32"/>
          <w:szCs w:val="32"/>
          <w:lang w:val="en-US" w:eastAsia="zh-CN"/>
        </w:rPr>
        <w:t>依法负责管理区域内的森林、湿地、自然保护区和野生动植物资源的保护管理及森林防火、有害生物防治等保护和培育森林资源生态公益服务工作。</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1"/>
        <w:rPr>
          <w:rFonts w:hint="eastAsia" w:ascii="Times New Roman" w:hAnsi="Times New Roman" w:eastAsia="方正仿宋_GBK" w:cs="方正楷体_GBK"/>
          <w:kern w:val="0"/>
          <w:sz w:val="32"/>
          <w:szCs w:val="32"/>
          <w:lang w:val="en-US" w:eastAsia="zh-CN"/>
        </w:rPr>
      </w:pPr>
      <w:r>
        <w:rPr>
          <w:rFonts w:hint="eastAsia" w:eastAsia="方正仿宋_GBK" w:cs="方正楷体_GBK"/>
          <w:kern w:val="0"/>
          <w:sz w:val="32"/>
          <w:szCs w:val="32"/>
          <w:lang w:val="en-US" w:eastAsia="zh-CN"/>
        </w:rPr>
        <w:t>3.</w:t>
      </w:r>
      <w:r>
        <w:rPr>
          <w:rFonts w:hint="eastAsia" w:ascii="Times New Roman" w:hAnsi="Times New Roman" w:eastAsia="方正仿宋_GBK" w:cs="方正楷体_GBK"/>
          <w:kern w:val="0"/>
          <w:sz w:val="32"/>
          <w:szCs w:val="32"/>
          <w:lang w:val="en-US" w:eastAsia="zh-CN"/>
        </w:rPr>
        <w:t>开展林业科学试验和技术创新，推广先进技术。</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1"/>
        <w:rPr>
          <w:rFonts w:hint="eastAsia" w:ascii="Times New Roman" w:hAnsi="Times New Roman" w:eastAsia="方正仿宋_GBK" w:cs="方正楷体_GBK"/>
          <w:kern w:val="0"/>
          <w:sz w:val="32"/>
          <w:szCs w:val="32"/>
          <w:lang w:val="en-US" w:eastAsia="zh-CN"/>
        </w:rPr>
      </w:pPr>
      <w:r>
        <w:rPr>
          <w:rFonts w:hint="eastAsia" w:eastAsia="方正仿宋_GBK" w:cs="方正楷体_GBK"/>
          <w:kern w:val="0"/>
          <w:sz w:val="32"/>
          <w:szCs w:val="32"/>
          <w:lang w:val="en-US" w:eastAsia="zh-CN"/>
        </w:rPr>
        <w:t>4.</w:t>
      </w:r>
      <w:r>
        <w:rPr>
          <w:rFonts w:hint="eastAsia" w:ascii="Times New Roman" w:hAnsi="Times New Roman" w:eastAsia="方正仿宋_GBK" w:cs="方正楷体_GBK"/>
          <w:kern w:val="0"/>
          <w:sz w:val="32"/>
          <w:szCs w:val="32"/>
          <w:lang w:val="en-US" w:eastAsia="zh-CN"/>
        </w:rPr>
        <w:t>负责管理区域内的森林资源的开发利用。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1"/>
        <w:rPr>
          <w:rFonts w:hint="eastAsia" w:ascii="Times New Roman" w:hAnsi="Times New Roman" w:eastAsia="方正仿宋_GBK" w:cs="方正楷体_GBK"/>
          <w:kern w:val="0"/>
          <w:sz w:val="32"/>
          <w:szCs w:val="32"/>
          <w:lang w:val="en-US" w:eastAsia="zh-CN"/>
        </w:rPr>
      </w:pPr>
      <w:r>
        <w:rPr>
          <w:rFonts w:hint="eastAsia" w:eastAsia="方正仿宋_GBK" w:cs="方正楷体_GBK"/>
          <w:kern w:val="0"/>
          <w:sz w:val="32"/>
          <w:szCs w:val="32"/>
          <w:lang w:val="en-US" w:eastAsia="zh-CN"/>
        </w:rPr>
        <w:t>5.</w:t>
      </w:r>
      <w:r>
        <w:rPr>
          <w:rFonts w:hint="eastAsia" w:ascii="Times New Roman" w:hAnsi="Times New Roman" w:eastAsia="方正仿宋_GBK" w:cs="方正楷体_GBK"/>
          <w:kern w:val="0"/>
          <w:sz w:val="32"/>
          <w:szCs w:val="32"/>
          <w:lang w:val="en-US" w:eastAsia="zh-CN"/>
        </w:rPr>
        <w:t>承办行政主管部门交办的其他任务。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1"/>
        <w:rPr>
          <w:rFonts w:hint="eastAsia" w:ascii="Times New Roman" w:hAnsi="Times New Roman" w:eastAsia="方正楷体_GBK" w:cs="方正楷体_GBK"/>
          <w:kern w:val="0"/>
          <w:sz w:val="32"/>
          <w:szCs w:val="32"/>
          <w:lang w:eastAsia="zh-CN"/>
        </w:rPr>
      </w:pPr>
      <w:r>
        <w:rPr>
          <w:rFonts w:hint="eastAsia" w:ascii="Times New Roman" w:hAnsi="Times New Roman" w:eastAsia="方正楷体_GBK" w:cs="方正楷体_GBK"/>
          <w:kern w:val="0"/>
          <w:sz w:val="32"/>
          <w:szCs w:val="32"/>
          <w:lang w:val="en-US" w:eastAsia="zh-CN"/>
        </w:rPr>
        <w:t>（二）机构设置</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0" w:firstLineChars="200"/>
        <w:textAlignment w:val="auto"/>
        <w:outlineLvl w:val="0"/>
        <w:rPr>
          <w:rFonts w:hint="eastAsia" w:ascii="Times New Roman" w:hAnsi="Times New Roman" w:eastAsia="方正仿宋_GBK" w:cs="方正仿宋_GBK"/>
          <w:sz w:val="32"/>
          <w:lang w:eastAsia="zh-CN" w:bidi="ar-SA"/>
        </w:rPr>
      </w:pPr>
      <w:r>
        <w:rPr>
          <w:rFonts w:hint="eastAsia" w:ascii="Times New Roman" w:hAnsi="Times New Roman" w:eastAsia="仿宋_GB2312" w:cs="仿宋_GB2312"/>
          <w:sz w:val="32"/>
          <w:lang w:bidi="ar-SA"/>
        </w:rPr>
        <w:t>重庆市江津区云雾坪林场是江津区林业局下属正科级全额拨款事业单位，</w:t>
      </w:r>
      <w:r>
        <w:rPr>
          <w:rFonts w:hint="eastAsia" w:ascii="Times New Roman" w:hAnsi="Times New Roman" w:eastAsia="方正仿宋_GBK" w:cs="方正仿宋_GBK"/>
          <w:sz w:val="32"/>
          <w:lang w:bidi="ar-SA"/>
        </w:rPr>
        <w:t>内设4个办公室，下设4个管护站，5个管护点，经营面积65812亩</w:t>
      </w:r>
      <w:r>
        <w:rPr>
          <w:rFonts w:hint="eastAsia" w:ascii="Times New Roman" w:hAnsi="Times New Roman" w:eastAsia="方正仿宋_GBK" w:cs="方正仿宋_GBK"/>
          <w:sz w:val="32"/>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0" w:firstLineChars="20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lang w:eastAsia="zh-CN" w:bidi="ar-SA"/>
        </w:rPr>
        <w:t>二、单位</w:t>
      </w:r>
      <w:r>
        <w:rPr>
          <w:rFonts w:hint="eastAsia" w:ascii="Times New Roman" w:hAnsi="Times New Roman" w:eastAsia="方正黑体_GBK" w:cs="方正黑体_GBK"/>
          <w:sz w:val="32"/>
          <w:szCs w:val="32"/>
        </w:rPr>
        <w:t>决算情况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1"/>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（一）单位收支总体情况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1.收入支出总体情况。</w:t>
      </w:r>
      <w:r>
        <w:rPr>
          <w:rFonts w:hint="eastAsia" w:ascii="Times New Roman" w:hAnsi="Times New Roman" w:eastAsia="方正仿宋_GBK" w:cs="方正仿宋_GBK"/>
          <w:b w:val="0"/>
          <w:bCs w:val="0"/>
          <w:sz w:val="32"/>
          <w:szCs w:val="32"/>
          <w:lang w:val="en-US" w:eastAsia="zh-CN"/>
        </w:rPr>
        <w:t>2024年度收入总计</w:t>
      </w:r>
      <w:r>
        <w:rPr>
          <w:rFonts w:ascii="Times New Roman" w:hAnsi="Times New Roman" w:eastAsia="方正仿宋_GBK" w:cs="方正仿宋_GBK"/>
          <w:sz w:val="32"/>
          <w:szCs w:val="32"/>
          <w:shd w:val="clear" w:color="auto" w:fill="FFFFFF"/>
        </w:rPr>
        <w:t>851.7</w:t>
      </w:r>
      <w:r>
        <w:rPr>
          <w:rFonts w:hint="eastAsia" w:ascii="Times New Roman" w:hAnsi="Times New Roman" w:eastAsia="方正仿宋_GBK" w:cs="方正仿宋_GBK"/>
          <w:b w:val="0"/>
          <w:bCs w:val="0"/>
          <w:sz w:val="32"/>
          <w:szCs w:val="32"/>
          <w:lang w:val="en-US" w:eastAsia="zh-CN"/>
        </w:rPr>
        <w:t>万元，支出总计</w:t>
      </w:r>
      <w:r>
        <w:rPr>
          <w:rFonts w:ascii="Times New Roman" w:hAnsi="Times New Roman" w:eastAsia="方正仿宋_GBK" w:cs="方正仿宋_GBK"/>
          <w:sz w:val="32"/>
          <w:szCs w:val="32"/>
          <w:shd w:val="clear" w:color="auto" w:fill="FFFFFF"/>
        </w:rPr>
        <w:t>851.7</w:t>
      </w:r>
      <w:r>
        <w:rPr>
          <w:rFonts w:hint="eastAsia" w:ascii="Times New Roman" w:hAnsi="Times New Roman" w:eastAsia="方正仿宋_GBK" w:cs="方正仿宋_GBK"/>
          <w:b w:val="0"/>
          <w:bCs w:val="0"/>
          <w:sz w:val="32"/>
          <w:szCs w:val="32"/>
          <w:lang w:val="en-US" w:eastAsia="zh-CN"/>
        </w:rPr>
        <w:t>万元。收支较上年</w:t>
      </w:r>
      <w:r>
        <w:rPr>
          <w:rFonts w:ascii="Times New Roman" w:hAnsi="Times New Roman" w:eastAsia="方正仿宋_GBK" w:cs="方正仿宋_GBK"/>
          <w:sz w:val="32"/>
          <w:szCs w:val="32"/>
          <w:shd w:val="clear" w:color="auto" w:fill="FFFFFF"/>
        </w:rPr>
        <w:t>增加206.98万元，增长32.1%</w:t>
      </w:r>
      <w:r>
        <w:rPr>
          <w:rFonts w:hint="eastAsia" w:ascii="Times New Roman" w:hAnsi="Times New Roman" w:eastAsia="方正仿宋_GBK" w:cs="方正仿宋_GBK"/>
          <w:b w:val="0"/>
          <w:bCs w:val="0"/>
          <w:sz w:val="32"/>
          <w:szCs w:val="32"/>
          <w:lang w:val="en-US" w:eastAsia="zh-CN"/>
        </w:rPr>
        <w:t>，主要原因为机构改革职工人数增加，人员经费收支增加。</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2.收入情况。</w:t>
      </w:r>
      <w:r>
        <w:rPr>
          <w:rFonts w:hint="eastAsia" w:ascii="Times New Roman" w:hAnsi="Times New Roman" w:eastAsia="方正仿宋_GBK" w:cs="方正仿宋_GBK"/>
          <w:b w:val="0"/>
          <w:bCs w:val="0"/>
          <w:sz w:val="32"/>
          <w:szCs w:val="32"/>
          <w:lang w:val="en-US" w:eastAsia="zh-CN"/>
        </w:rPr>
        <w:t>2024年度本年收入合计</w:t>
      </w:r>
      <w:r>
        <w:rPr>
          <w:rFonts w:ascii="Times New Roman" w:hAnsi="Times New Roman" w:eastAsia="方正仿宋_GBK" w:cs="方正仿宋_GBK"/>
          <w:sz w:val="32"/>
          <w:szCs w:val="32"/>
          <w:shd w:val="clear" w:color="auto" w:fill="FFFFFF"/>
        </w:rPr>
        <w:t>851.7</w:t>
      </w:r>
      <w:r>
        <w:rPr>
          <w:rFonts w:hint="eastAsia" w:ascii="Times New Roman" w:hAnsi="Times New Roman" w:eastAsia="方正仿宋_GBK" w:cs="方正仿宋_GBK"/>
          <w:b w:val="0"/>
          <w:bCs w:val="0"/>
          <w:sz w:val="32"/>
          <w:szCs w:val="32"/>
          <w:lang w:val="en-US" w:eastAsia="zh-CN"/>
        </w:rPr>
        <w:t>万元，较上年</w:t>
      </w:r>
      <w:r>
        <w:rPr>
          <w:rFonts w:ascii="Times New Roman" w:hAnsi="Times New Roman" w:eastAsia="方正仿宋_GBK" w:cs="方正仿宋_GBK"/>
          <w:sz w:val="32"/>
          <w:szCs w:val="32"/>
          <w:shd w:val="clear" w:color="auto" w:fill="FFFFFF"/>
        </w:rPr>
        <w:t>增加206.98万元，增长32.1%</w:t>
      </w:r>
      <w:r>
        <w:rPr>
          <w:rFonts w:hint="eastAsia" w:ascii="Times New Roman" w:hAnsi="Times New Roman" w:eastAsia="方正仿宋_GBK" w:cs="方正仿宋_GBK"/>
          <w:b w:val="0"/>
          <w:bCs w:val="0"/>
          <w:sz w:val="32"/>
          <w:szCs w:val="32"/>
          <w:lang w:val="en-US" w:eastAsia="zh-CN"/>
        </w:rPr>
        <w:t>，主要原因为机构改革职工人数增加，人员经费收入增加。其中：财政拨款收入</w:t>
      </w:r>
      <w:r>
        <w:rPr>
          <w:rFonts w:ascii="Times New Roman" w:hAnsi="Times New Roman" w:eastAsia="方正仿宋_GBK" w:cs="方正仿宋_GBK"/>
          <w:sz w:val="32"/>
          <w:szCs w:val="32"/>
          <w:shd w:val="clear" w:color="auto" w:fill="FFFFFF"/>
        </w:rPr>
        <w:t>851.7</w:t>
      </w:r>
      <w:r>
        <w:rPr>
          <w:rFonts w:hint="eastAsia" w:ascii="Times New Roman" w:hAnsi="Times New Roman" w:eastAsia="方正仿宋_GBK" w:cs="方正仿宋_GBK"/>
          <w:b w:val="0"/>
          <w:bCs w:val="0"/>
          <w:sz w:val="32"/>
          <w:szCs w:val="32"/>
          <w:lang w:val="en-US" w:eastAsia="zh-CN"/>
        </w:rPr>
        <w:t>万元，占比100%；事业收入0万元，占比0%；其他收入0万元，占比0%。</w:t>
      </w:r>
      <w:r>
        <w:rPr>
          <w:rFonts w:ascii="Times New Roman" w:hAnsi="Times New Roman" w:eastAsia="方正仿宋_GBK" w:cs="方正仿宋_GBK"/>
          <w:sz w:val="32"/>
          <w:szCs w:val="32"/>
          <w:shd w:val="clear" w:color="auto" w:fill="FFFFFF"/>
        </w:rPr>
        <w:t>此外，使用非财政拨款结余和专用结余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万元，年初结转和结余</w:t>
      </w:r>
      <w:r>
        <w:rPr>
          <w:rFonts w:hint="eastAsia" w:ascii="Times New Roman" w:hAnsi="Times New Roman" w:eastAsia="方正仿宋_GBK" w:cs="方正仿宋_GBK"/>
          <w:sz w:val="32"/>
          <w:szCs w:val="32"/>
          <w:shd w:val="clear" w:color="auto" w:fill="FFFFFF"/>
          <w:lang w:val="en-US" w:eastAsia="zh-CN"/>
        </w:rPr>
        <w:t>0</w:t>
      </w:r>
      <w:r>
        <w:rPr>
          <w:rFonts w:ascii="Times New Roman" w:hAnsi="Times New Roman" w:eastAsia="方正仿宋_GBK" w:cs="方正仿宋_GBK"/>
          <w:sz w:val="32"/>
          <w:szCs w:val="32"/>
          <w:shd w:val="clear" w:color="auto" w:fill="FFFFFF"/>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3.支出情况。</w:t>
      </w:r>
      <w:r>
        <w:rPr>
          <w:rFonts w:hint="eastAsia" w:ascii="Times New Roman" w:hAnsi="Times New Roman" w:eastAsia="方正仿宋_GBK" w:cs="方正仿宋_GBK"/>
          <w:b w:val="0"/>
          <w:bCs w:val="0"/>
          <w:sz w:val="32"/>
          <w:szCs w:val="32"/>
          <w:lang w:val="en-US" w:eastAsia="zh-CN"/>
        </w:rPr>
        <w:t>2024年度本年支出合计</w:t>
      </w:r>
      <w:r>
        <w:rPr>
          <w:rFonts w:ascii="Times New Roman" w:hAnsi="Times New Roman" w:eastAsia="方正仿宋_GBK" w:cs="方正仿宋_GBK"/>
          <w:sz w:val="32"/>
          <w:szCs w:val="32"/>
          <w:shd w:val="clear" w:color="auto" w:fill="FFFFFF"/>
        </w:rPr>
        <w:t>851.7</w:t>
      </w:r>
      <w:r>
        <w:rPr>
          <w:rFonts w:hint="eastAsia" w:ascii="Times New Roman" w:hAnsi="Times New Roman" w:eastAsia="方正仿宋_GBK" w:cs="方正仿宋_GBK"/>
          <w:b w:val="0"/>
          <w:bCs w:val="0"/>
          <w:sz w:val="32"/>
          <w:szCs w:val="32"/>
          <w:lang w:val="en-US" w:eastAsia="zh-CN"/>
        </w:rPr>
        <w:t>万元，</w:t>
      </w:r>
      <w:r>
        <w:rPr>
          <w:rFonts w:hint="eastAsia" w:ascii="Times New Roman" w:hAnsi="Times New Roman" w:eastAsia="方正仿宋_GBK" w:cs="方正仿宋_GBK"/>
          <w:sz w:val="32"/>
        </w:rPr>
        <w:t>较</w:t>
      </w:r>
      <w:r>
        <w:rPr>
          <w:rFonts w:hint="eastAsia" w:ascii="Times New Roman" w:hAnsi="Times New Roman" w:eastAsia="方正仿宋_GBK" w:cs="方正仿宋_GBK"/>
          <w:sz w:val="32"/>
          <w:lang w:val="en-US" w:eastAsia="zh-CN"/>
        </w:rPr>
        <w:t>上年</w:t>
      </w:r>
      <w:r>
        <w:rPr>
          <w:rFonts w:ascii="Times New Roman" w:hAnsi="Times New Roman" w:eastAsia="方正仿宋_GBK" w:cs="方正仿宋_GBK"/>
          <w:sz w:val="32"/>
          <w:szCs w:val="32"/>
          <w:shd w:val="clear" w:color="auto" w:fill="FFFFFF"/>
        </w:rPr>
        <w:t>增加206.98万元，增长32.1%</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sz w:val="32"/>
        </w:rPr>
        <w:t>主要</w:t>
      </w:r>
      <w:r>
        <w:rPr>
          <w:rFonts w:hint="eastAsia" w:ascii="Times New Roman" w:hAnsi="Times New Roman" w:eastAsia="方正仿宋_GBK" w:cs="方正仿宋_GBK"/>
          <w:sz w:val="32"/>
          <w:lang w:val="en-US" w:eastAsia="zh-CN"/>
        </w:rPr>
        <w:t>原因为</w:t>
      </w:r>
      <w:r>
        <w:rPr>
          <w:rFonts w:hint="eastAsia" w:ascii="Times New Roman" w:hAnsi="Times New Roman" w:eastAsia="方正仿宋_GBK" w:cs="方正仿宋_GBK"/>
          <w:b w:val="0"/>
          <w:bCs w:val="0"/>
          <w:sz w:val="32"/>
          <w:szCs w:val="32"/>
          <w:lang w:val="en-US" w:eastAsia="zh-CN"/>
        </w:rPr>
        <w:t>机构改革职工人数增加，人员经费支出增加。其中：基本支出</w:t>
      </w:r>
      <w:r>
        <w:rPr>
          <w:rFonts w:ascii="Times New Roman" w:hAnsi="Times New Roman" w:eastAsia="方正仿宋_GBK" w:cs="方正仿宋_GBK"/>
          <w:sz w:val="32"/>
          <w:szCs w:val="32"/>
        </w:rPr>
        <w:t>682.71</w:t>
      </w:r>
      <w:r>
        <w:rPr>
          <w:rFonts w:ascii="Times New Roman" w:hAnsi="Times New Roman" w:eastAsia="方正仿宋_GBK" w:cs="方正仿宋_GBK"/>
          <w:sz w:val="32"/>
          <w:szCs w:val="32"/>
          <w:shd w:val="clear" w:color="auto" w:fill="FFFFFF"/>
        </w:rPr>
        <w:t>万元，占80.16%</w:t>
      </w:r>
      <w:r>
        <w:rPr>
          <w:rFonts w:hint="eastAsia" w:ascii="Times New Roman" w:hAnsi="Times New Roman" w:eastAsia="方正仿宋_GBK" w:cs="方正仿宋_GBK"/>
          <w:b w:val="0"/>
          <w:bCs w:val="0"/>
          <w:sz w:val="32"/>
          <w:szCs w:val="32"/>
          <w:lang w:val="en-US" w:eastAsia="zh-CN"/>
        </w:rPr>
        <w:t>；项目支出</w:t>
      </w:r>
      <w:r>
        <w:rPr>
          <w:rFonts w:ascii="Times New Roman" w:hAnsi="Times New Roman" w:eastAsia="方正仿宋_GBK" w:cs="方正仿宋_GBK"/>
          <w:sz w:val="32"/>
          <w:szCs w:val="32"/>
        </w:rPr>
        <w:t>168.99</w:t>
      </w:r>
      <w:r>
        <w:rPr>
          <w:rFonts w:ascii="Times New Roman" w:hAnsi="Times New Roman" w:eastAsia="方正仿宋_GBK" w:cs="方正仿宋_GBK"/>
          <w:sz w:val="32"/>
          <w:szCs w:val="32"/>
          <w:shd w:val="clear" w:color="auto" w:fill="FFFFFF"/>
        </w:rPr>
        <w:t>万元，占19.84%</w:t>
      </w:r>
      <w:r>
        <w:rPr>
          <w:rFonts w:hint="eastAsia" w:ascii="Times New Roman" w:hAnsi="Times New Roman" w:eastAsia="方正仿宋_GBK" w:cs="方正仿宋_GBK"/>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right="0" w:firstLine="643" w:firstLineChars="200"/>
        <w:textAlignment w:val="auto"/>
        <w:rPr>
          <w:rFonts w:hint="eastAsia" w:ascii="Times New Roman" w:hAnsi="Times New Roman" w:eastAsia="方正仿宋_GBK" w:cs="方正仿宋_GBK"/>
          <w:kern w:val="0"/>
          <w:sz w:val="32"/>
          <w:szCs w:val="32"/>
          <w:lang w:val="en-US" w:eastAsia="zh-CN"/>
        </w:rPr>
      </w:pPr>
      <w:r>
        <w:rPr>
          <w:rFonts w:hint="eastAsia" w:ascii="Times New Roman" w:hAnsi="Times New Roman" w:eastAsia="方正仿宋_GBK" w:cs="方正仿宋_GBK"/>
          <w:b/>
          <w:bCs/>
          <w:sz w:val="32"/>
          <w:szCs w:val="32"/>
          <w:lang w:val="en-US" w:eastAsia="zh-CN"/>
        </w:rPr>
        <w:t>4.结转结余情况。</w:t>
      </w:r>
      <w:r>
        <w:rPr>
          <w:rFonts w:hint="eastAsia" w:ascii="Times New Roman" w:hAnsi="Times New Roman" w:eastAsia="方正仿宋_GBK" w:cs="方正仿宋_GBK"/>
          <w:b w:val="0"/>
          <w:bCs w:val="0"/>
          <w:sz w:val="32"/>
          <w:szCs w:val="32"/>
          <w:lang w:val="en-US" w:eastAsia="zh-CN"/>
        </w:rPr>
        <w:t>2024年度年末结转和结余0万元，与2023年度相比</w:t>
      </w:r>
      <w:r>
        <w:rPr>
          <w:rFonts w:ascii="Times New Roman" w:hAnsi="Times New Roman" w:eastAsia="方正仿宋_GBK" w:cs="方正仿宋_GBK"/>
          <w:sz w:val="32"/>
          <w:szCs w:val="32"/>
          <w:shd w:val="clear" w:color="auto" w:fill="FFFFFF"/>
        </w:rPr>
        <w:t>无增减</w:t>
      </w:r>
      <w:r>
        <w:rPr>
          <w:rFonts w:hint="eastAsia" w:ascii="Times New Roman" w:hAnsi="Times New Roman" w:eastAsia="方正仿宋_GBK" w:cs="方正仿宋_GBK"/>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1"/>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（二）财政拨款收支总体情况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lang w:val="en-US" w:eastAsia="zh-CN"/>
        </w:rPr>
      </w:pPr>
      <w:r>
        <w:rPr>
          <w:rFonts w:hint="eastAsia" w:ascii="Times New Roman" w:hAnsi="Times New Roman" w:eastAsia="方正仿宋_GBK" w:cs="方正仿宋_GBK"/>
          <w:sz w:val="32"/>
          <w:lang w:val="en-US" w:eastAsia="zh-CN"/>
        </w:rPr>
        <w:t>2024年度财政拨款收入总计</w:t>
      </w:r>
      <w:r>
        <w:rPr>
          <w:rFonts w:ascii="Times New Roman" w:hAnsi="Times New Roman" w:eastAsia="方正仿宋_GBK" w:cs="方正仿宋_GBK"/>
          <w:sz w:val="32"/>
          <w:szCs w:val="32"/>
          <w:shd w:val="clear" w:color="auto" w:fill="FFFFFF"/>
        </w:rPr>
        <w:t>851.7</w:t>
      </w:r>
      <w:r>
        <w:rPr>
          <w:rFonts w:hint="eastAsia" w:ascii="Times New Roman" w:hAnsi="Times New Roman" w:eastAsia="方正仿宋_GBK" w:cs="方正仿宋_GBK"/>
          <w:sz w:val="32"/>
          <w:lang w:val="en-US" w:eastAsia="zh-CN"/>
        </w:rPr>
        <w:t>万元，支出总计</w:t>
      </w:r>
      <w:r>
        <w:rPr>
          <w:rFonts w:ascii="Times New Roman" w:hAnsi="Times New Roman" w:eastAsia="方正仿宋_GBK" w:cs="方正仿宋_GBK"/>
          <w:sz w:val="32"/>
          <w:szCs w:val="32"/>
          <w:shd w:val="clear" w:color="auto" w:fill="FFFFFF"/>
        </w:rPr>
        <w:t>851.7</w:t>
      </w:r>
      <w:r>
        <w:rPr>
          <w:rFonts w:hint="eastAsia" w:ascii="Times New Roman" w:hAnsi="Times New Roman" w:eastAsia="方正仿宋_GBK" w:cs="方正仿宋_GBK"/>
          <w:sz w:val="32"/>
          <w:lang w:val="en-US" w:eastAsia="zh-CN"/>
        </w:rPr>
        <w:t>万元。</w:t>
      </w:r>
      <w:r>
        <w:rPr>
          <w:rFonts w:hint="eastAsia" w:ascii="Times New Roman" w:hAnsi="Times New Roman" w:eastAsia="方正仿宋_GBK" w:cs="方正仿宋_GBK"/>
          <w:sz w:val="32"/>
        </w:rPr>
        <w:t>收支较上年</w:t>
      </w:r>
      <w:r>
        <w:rPr>
          <w:rFonts w:ascii="Times New Roman" w:hAnsi="Times New Roman" w:eastAsia="方正仿宋_GBK" w:cs="方正仿宋_GBK"/>
          <w:sz w:val="32"/>
          <w:szCs w:val="32"/>
          <w:shd w:val="clear" w:color="auto" w:fill="FFFFFF"/>
        </w:rPr>
        <w:t>增加206.98万元，增长32.1%</w:t>
      </w:r>
      <w:r>
        <w:rPr>
          <w:rFonts w:hint="eastAsia" w:ascii="Times New Roman" w:hAnsi="Times New Roman" w:eastAsia="方正仿宋_GBK" w:cs="方正仿宋_GBK"/>
          <w:sz w:val="32"/>
          <w:lang w:val="en-US" w:eastAsia="zh-CN"/>
        </w:rPr>
        <w:t>，</w:t>
      </w:r>
      <w:r>
        <w:rPr>
          <w:rFonts w:hint="eastAsia" w:ascii="Times New Roman" w:hAnsi="Times New Roman" w:eastAsia="方正仿宋_GBK" w:cs="方正仿宋_GBK"/>
          <w:sz w:val="32"/>
        </w:rPr>
        <w:t>主要原因</w:t>
      </w:r>
      <w:r>
        <w:rPr>
          <w:rFonts w:hint="eastAsia" w:ascii="Times New Roman" w:hAnsi="Times New Roman" w:eastAsia="方正仿宋_GBK" w:cs="方正仿宋_GBK"/>
          <w:sz w:val="32"/>
          <w:lang w:val="en-US" w:eastAsia="zh-CN"/>
        </w:rPr>
        <w:t>为</w:t>
      </w:r>
      <w:r>
        <w:rPr>
          <w:rFonts w:hint="eastAsia" w:ascii="Times New Roman" w:hAnsi="Times New Roman" w:eastAsia="方正仿宋_GBK" w:cs="方正仿宋_GBK"/>
          <w:b w:val="0"/>
          <w:bCs w:val="0"/>
          <w:sz w:val="32"/>
          <w:szCs w:val="32"/>
          <w:lang w:val="en-US" w:eastAsia="zh-CN"/>
        </w:rPr>
        <w:t>机构改革职工人数增加，人员经费收支增加</w:t>
      </w:r>
      <w:r>
        <w:rPr>
          <w:rFonts w:hint="eastAsia" w:ascii="Times New Roman" w:hAnsi="Times New Roman" w:eastAsia="方正仿宋_GBK" w:cs="方正仿宋_GBK"/>
          <w:sz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1"/>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（三）一般公共预算财政拨款收支总体情况</w:t>
      </w:r>
    </w:p>
    <w:p>
      <w:pPr>
        <w:keepNext w:val="0"/>
        <w:keepLines w:val="0"/>
        <w:pageBreakBefore w:val="0"/>
        <w:numPr>
          <w:ilvl w:val="0"/>
          <w:numId w:val="0"/>
        </w:numPr>
        <w:kinsoku/>
        <w:wordWrap/>
        <w:overflowPunct/>
        <w:topLinePunct w:val="0"/>
        <w:autoSpaceDN/>
        <w:bidi w:val="0"/>
        <w:snapToGrid/>
        <w:spacing w:line="579" w:lineRule="exact"/>
        <w:ind w:left="0" w:right="0" w:firstLine="643" w:firstLineChars="200"/>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b/>
          <w:bCs/>
          <w:sz w:val="32"/>
          <w:lang w:val="en-US" w:eastAsia="zh-CN"/>
        </w:rPr>
        <w:t>1.收入情况。</w:t>
      </w:r>
      <w:r>
        <w:rPr>
          <w:rFonts w:hint="eastAsia" w:ascii="Times New Roman" w:hAnsi="Times New Roman" w:eastAsia="方正仿宋_GBK" w:cs="方正仿宋_GBK"/>
          <w:color w:val="auto"/>
          <w:sz w:val="32"/>
        </w:rPr>
        <w:t>202</w:t>
      </w:r>
      <w:r>
        <w:rPr>
          <w:rFonts w:hint="eastAsia" w:ascii="Times New Roman" w:hAnsi="Times New Roman" w:eastAsia="方正仿宋_GBK" w:cs="方正仿宋_GBK"/>
          <w:color w:val="auto"/>
          <w:sz w:val="32"/>
          <w:lang w:val="en-US" w:eastAsia="zh-CN"/>
        </w:rPr>
        <w:t>4</w:t>
      </w:r>
      <w:r>
        <w:rPr>
          <w:rFonts w:hint="eastAsia" w:ascii="Times New Roman" w:hAnsi="Times New Roman" w:eastAsia="方正仿宋_GBK" w:cs="方正仿宋_GBK"/>
          <w:color w:val="auto"/>
          <w:sz w:val="32"/>
        </w:rPr>
        <w:t>年度一般公共预算财政拨款收入</w:t>
      </w:r>
      <w:r>
        <w:rPr>
          <w:rFonts w:ascii="Times New Roman" w:hAnsi="Times New Roman" w:eastAsia="方正仿宋_GBK" w:cs="方正仿宋_GBK"/>
          <w:sz w:val="32"/>
          <w:szCs w:val="32"/>
          <w:shd w:val="clear" w:color="auto" w:fill="FFFFFF"/>
        </w:rPr>
        <w:t>851.7</w:t>
      </w:r>
      <w:r>
        <w:rPr>
          <w:rFonts w:hint="eastAsia" w:ascii="Times New Roman" w:hAnsi="Times New Roman" w:eastAsia="方正仿宋_GBK" w:cs="方正仿宋_GBK"/>
          <w:color w:val="auto"/>
          <w:sz w:val="32"/>
        </w:rPr>
        <w:t>万元，较上年</w:t>
      </w:r>
      <w:r>
        <w:rPr>
          <w:rFonts w:hint="eastAsia" w:ascii="Times New Roman" w:hAnsi="Times New Roman" w:eastAsia="方正仿宋_GBK" w:cs="方正仿宋_GBK"/>
          <w:color w:val="auto"/>
          <w:sz w:val="32"/>
          <w:lang w:val="en-US" w:eastAsia="zh-CN"/>
        </w:rPr>
        <w:t>决算数</w:t>
      </w:r>
      <w:r>
        <w:rPr>
          <w:rFonts w:ascii="Times New Roman" w:hAnsi="Times New Roman" w:eastAsia="方正仿宋_GBK" w:cs="方正仿宋_GBK"/>
          <w:sz w:val="32"/>
          <w:szCs w:val="32"/>
          <w:shd w:val="clear" w:color="auto" w:fill="FFFFFF"/>
        </w:rPr>
        <w:t>增加206.98万元，增长32.1%</w:t>
      </w:r>
      <w:r>
        <w:rPr>
          <w:rFonts w:hint="eastAsia" w:ascii="Times New Roman" w:hAnsi="Times New Roman" w:eastAsia="方正仿宋_GBK" w:cs="方正仿宋_GBK"/>
          <w:color w:val="auto"/>
          <w:sz w:val="32"/>
          <w:lang w:eastAsia="zh-CN"/>
        </w:rPr>
        <w:t>，</w:t>
      </w:r>
      <w:r>
        <w:rPr>
          <w:rFonts w:hint="eastAsia" w:ascii="Times New Roman" w:hAnsi="Times New Roman" w:eastAsia="方正仿宋_GBK" w:cs="方正仿宋_GBK"/>
          <w:color w:val="auto"/>
          <w:sz w:val="32"/>
        </w:rPr>
        <w:t>主要原因</w:t>
      </w:r>
      <w:r>
        <w:rPr>
          <w:rFonts w:hint="eastAsia" w:ascii="Times New Roman" w:hAnsi="Times New Roman" w:eastAsia="方正仿宋_GBK" w:cs="方正仿宋_GBK"/>
          <w:color w:val="auto"/>
          <w:sz w:val="32"/>
          <w:lang w:val="en-US" w:eastAsia="zh-CN"/>
        </w:rPr>
        <w:t>为</w:t>
      </w:r>
      <w:r>
        <w:rPr>
          <w:rFonts w:hint="eastAsia" w:ascii="Times New Roman" w:hAnsi="Times New Roman" w:eastAsia="方正仿宋_GBK" w:cs="方正仿宋_GBK"/>
          <w:b w:val="0"/>
          <w:bCs w:val="0"/>
          <w:sz w:val="32"/>
          <w:szCs w:val="32"/>
          <w:lang w:val="en-US" w:eastAsia="zh-CN"/>
        </w:rPr>
        <w:t>机构改革职工人数增加，人员经费收入增加</w:t>
      </w:r>
      <w:r>
        <w:rPr>
          <w:rFonts w:hint="eastAsia" w:ascii="Times New Roman" w:hAnsi="Times New Roman" w:eastAsia="方正仿宋_GBK" w:cs="方正仿宋_GBK"/>
          <w:color w:val="auto"/>
          <w:sz w:val="32"/>
          <w:lang w:val="en-US" w:eastAsia="zh-CN"/>
        </w:rPr>
        <w:t>。较年初预算数</w:t>
      </w:r>
      <w:r>
        <w:rPr>
          <w:rFonts w:ascii="Times New Roman" w:hAnsi="Times New Roman" w:eastAsia="方正仿宋_GBK" w:cs="方正仿宋_GBK"/>
          <w:sz w:val="32"/>
          <w:szCs w:val="32"/>
          <w:shd w:val="clear" w:color="auto" w:fill="FFFFFF"/>
        </w:rPr>
        <w:t>增加199.91万元，增长30.67%</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b w:val="0"/>
          <w:bCs w:val="0"/>
          <w:sz w:val="32"/>
          <w:szCs w:val="32"/>
          <w:lang w:val="en-US" w:eastAsia="zh-CN"/>
        </w:rPr>
        <w:t>职工人数增加，人员经费收入增加</w:t>
      </w:r>
      <w:r>
        <w:rPr>
          <w:rFonts w:hint="eastAsia" w:ascii="Times New Roman" w:hAnsi="Times New Roman" w:eastAsia="方正仿宋_GBK" w:cs="方正仿宋_GBK"/>
          <w:color w:val="auto"/>
          <w:sz w:val="32"/>
          <w:lang w:val="en-US" w:eastAsia="zh-CN"/>
        </w:rPr>
        <w:t>。</w:t>
      </w:r>
      <w:r>
        <w:rPr>
          <w:rFonts w:ascii="Times New Roman" w:hAnsi="Times New Roman" w:eastAsia="方正仿宋_GBK" w:cs="方正仿宋_GBK"/>
          <w:sz w:val="32"/>
          <w:szCs w:val="32"/>
          <w:shd w:val="clear" w:color="auto" w:fill="FFFFFF"/>
        </w:rPr>
        <w:t>此外，年初财政拨款结转和结余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w:t>
      </w:r>
    </w:p>
    <w:p>
      <w:pPr>
        <w:keepNext w:val="0"/>
        <w:keepLines w:val="0"/>
        <w:pageBreakBefore w:val="0"/>
        <w:numPr>
          <w:ilvl w:val="0"/>
          <w:numId w:val="0"/>
        </w:numPr>
        <w:kinsoku/>
        <w:wordWrap/>
        <w:overflowPunct/>
        <w:topLinePunct w:val="0"/>
        <w:autoSpaceDN/>
        <w:bidi w:val="0"/>
        <w:snapToGrid/>
        <w:spacing w:line="579" w:lineRule="exact"/>
        <w:ind w:left="0" w:right="0" w:firstLine="643" w:firstLineChars="200"/>
        <w:textAlignment w:val="auto"/>
        <w:rPr>
          <w:rFonts w:hint="eastAsia" w:ascii="Times New Roman" w:hAnsi="Times New Roman" w:eastAsia="方正仿宋_GBK" w:cs="方正仿宋_GBK"/>
          <w:b/>
          <w:bCs/>
          <w:sz w:val="32"/>
          <w:lang w:val="en-US" w:eastAsia="zh-CN"/>
        </w:rPr>
      </w:pPr>
      <w:r>
        <w:rPr>
          <w:rFonts w:hint="eastAsia" w:ascii="Times New Roman" w:hAnsi="Times New Roman" w:eastAsia="方正仿宋_GBK" w:cs="方正仿宋_GBK"/>
          <w:b/>
          <w:bCs/>
          <w:sz w:val="32"/>
          <w:lang w:val="en-US" w:eastAsia="zh-CN"/>
        </w:rPr>
        <w:t>2.支出情况。</w:t>
      </w:r>
      <w:r>
        <w:rPr>
          <w:rFonts w:hint="eastAsia" w:ascii="Times New Roman" w:hAnsi="Times New Roman" w:eastAsia="方正仿宋_GBK" w:cs="方正仿宋_GBK"/>
          <w:color w:val="auto"/>
          <w:sz w:val="32"/>
          <w:lang w:val="en-US" w:eastAsia="zh-CN"/>
        </w:rPr>
        <w:t>2024年度一般公共预算财政拨款支出</w:t>
      </w:r>
      <w:r>
        <w:rPr>
          <w:rFonts w:ascii="Times New Roman" w:hAnsi="Times New Roman" w:eastAsia="方正仿宋_GBK" w:cs="方正仿宋_GBK"/>
          <w:sz w:val="32"/>
          <w:szCs w:val="32"/>
          <w:shd w:val="clear" w:color="auto" w:fill="FFFFFF"/>
        </w:rPr>
        <w:t>851.7</w:t>
      </w:r>
      <w:r>
        <w:rPr>
          <w:rFonts w:hint="eastAsia" w:ascii="Times New Roman" w:hAnsi="Times New Roman" w:eastAsia="方正仿宋_GBK" w:cs="方正仿宋_GBK"/>
          <w:color w:val="auto"/>
          <w:sz w:val="32"/>
          <w:lang w:val="en-US" w:eastAsia="zh-CN"/>
        </w:rPr>
        <w:t>万元，</w:t>
      </w:r>
      <w:r>
        <w:rPr>
          <w:rFonts w:hint="eastAsia" w:ascii="Times New Roman" w:hAnsi="Times New Roman" w:eastAsia="方正仿宋_GBK" w:cs="方正仿宋_GBK"/>
          <w:color w:val="auto"/>
          <w:sz w:val="32"/>
        </w:rPr>
        <w:t>较上年决算数</w:t>
      </w:r>
      <w:r>
        <w:rPr>
          <w:rFonts w:hint="eastAsia" w:ascii="Times New Roman" w:hAnsi="Times New Roman" w:eastAsia="方正仿宋_GBK" w:cs="方正仿宋_GBK"/>
          <w:color w:val="auto"/>
          <w:sz w:val="32"/>
          <w:lang w:val="en-US" w:eastAsia="zh-CN"/>
        </w:rPr>
        <w:t>增加</w:t>
      </w:r>
      <w:r>
        <w:rPr>
          <w:rFonts w:ascii="Times New Roman" w:hAnsi="Times New Roman" w:eastAsia="方正仿宋_GBK" w:cs="方正仿宋_GBK"/>
          <w:sz w:val="32"/>
          <w:szCs w:val="32"/>
          <w:shd w:val="clear" w:color="auto" w:fill="FFFFFF"/>
        </w:rPr>
        <w:t>206.98万元，增长32.1%</w:t>
      </w:r>
      <w:r>
        <w:rPr>
          <w:rFonts w:hint="eastAsia" w:ascii="Times New Roman" w:hAnsi="Times New Roman" w:eastAsia="方正仿宋_GBK" w:cs="方正仿宋_GBK"/>
          <w:color w:val="auto"/>
          <w:sz w:val="32"/>
          <w:lang w:eastAsia="zh-CN"/>
        </w:rPr>
        <w:t>，</w:t>
      </w:r>
      <w:r>
        <w:rPr>
          <w:rFonts w:hint="eastAsia" w:ascii="Times New Roman" w:hAnsi="Times New Roman" w:eastAsia="方正仿宋_GBK" w:cs="方正仿宋_GBK"/>
          <w:color w:val="auto"/>
          <w:sz w:val="32"/>
        </w:rPr>
        <w:t>主要原因是</w:t>
      </w:r>
      <w:r>
        <w:rPr>
          <w:rFonts w:hint="eastAsia" w:ascii="Times New Roman" w:hAnsi="Times New Roman" w:eastAsia="方正仿宋_GBK" w:cs="方正仿宋_GBK"/>
          <w:b w:val="0"/>
          <w:bCs w:val="0"/>
          <w:sz w:val="32"/>
          <w:szCs w:val="32"/>
          <w:lang w:val="en-US" w:eastAsia="zh-CN"/>
        </w:rPr>
        <w:t>机构改革职工人数增加，人员经费支出增加</w:t>
      </w:r>
      <w:r>
        <w:rPr>
          <w:rFonts w:hint="eastAsia" w:ascii="Times New Roman" w:hAnsi="Times New Roman" w:eastAsia="方正仿宋_GBK" w:cs="方正仿宋_GBK"/>
          <w:color w:val="auto"/>
          <w:sz w:val="32"/>
          <w:lang w:val="en-US" w:eastAsia="zh-CN"/>
        </w:rPr>
        <w:t>。较年初预算数增加</w:t>
      </w:r>
      <w:r>
        <w:rPr>
          <w:rFonts w:ascii="Times New Roman" w:hAnsi="Times New Roman" w:eastAsia="方正仿宋_GBK" w:cs="方正仿宋_GBK"/>
          <w:sz w:val="32"/>
          <w:szCs w:val="32"/>
          <w:shd w:val="clear" w:color="auto" w:fill="FFFFFF"/>
        </w:rPr>
        <w:t>199.91万元，增长30.67%</w:t>
      </w:r>
      <w:r>
        <w:rPr>
          <w:rFonts w:hint="eastAsia" w:ascii="Times New Roman" w:hAnsi="Times New Roman" w:eastAsia="方正仿宋_GBK" w:cs="方正仿宋_GBK"/>
          <w:color w:val="auto"/>
          <w:sz w:val="32"/>
          <w:lang w:val="en-US" w:eastAsia="zh-CN"/>
        </w:rPr>
        <w:t>，主要原因是</w:t>
      </w:r>
      <w:r>
        <w:rPr>
          <w:rFonts w:hint="eastAsia" w:ascii="Times New Roman" w:hAnsi="Times New Roman" w:eastAsia="方正仿宋_GBK" w:cs="方正仿宋_GBK"/>
          <w:b w:val="0"/>
          <w:bCs w:val="0"/>
          <w:sz w:val="32"/>
          <w:szCs w:val="32"/>
          <w:lang w:val="en-US" w:eastAsia="zh-CN"/>
        </w:rPr>
        <w:t>职工人数增加，人员经费支出增加</w:t>
      </w:r>
      <w:r>
        <w:rPr>
          <w:rFonts w:hint="eastAsia" w:ascii="Times New Roman" w:hAnsi="Times New Roman" w:eastAsia="方正仿宋_GBK" w:cs="方正仿宋_GBK"/>
          <w:color w:val="auto"/>
          <w:sz w:val="32"/>
          <w:lang w:val="en-US" w:eastAsia="zh-CN"/>
        </w:rPr>
        <w:t>。</w:t>
      </w:r>
    </w:p>
    <w:p>
      <w:pPr>
        <w:keepNext w:val="0"/>
        <w:keepLines w:val="0"/>
        <w:pageBreakBefore w:val="0"/>
        <w:numPr>
          <w:ilvl w:val="0"/>
          <w:numId w:val="0"/>
        </w:numPr>
        <w:kinsoku/>
        <w:wordWrap/>
        <w:overflowPunct/>
        <w:topLinePunct w:val="0"/>
        <w:autoSpaceDN/>
        <w:bidi w:val="0"/>
        <w:snapToGrid/>
        <w:spacing w:line="579" w:lineRule="exact"/>
        <w:ind w:left="0" w:right="0" w:firstLine="643" w:firstLineChars="200"/>
        <w:textAlignment w:val="auto"/>
        <w:rPr>
          <w:rFonts w:hint="eastAsia" w:ascii="Times New Roman" w:hAnsi="Times New Roman" w:eastAsia="方正仿宋_GBK" w:cs="方正仿宋_GBK"/>
          <w:b/>
          <w:bCs/>
          <w:sz w:val="32"/>
          <w:lang w:val="en-US" w:eastAsia="zh-CN"/>
        </w:rPr>
      </w:pPr>
      <w:r>
        <w:rPr>
          <w:rFonts w:hint="eastAsia" w:ascii="Times New Roman" w:hAnsi="Times New Roman" w:eastAsia="方正仿宋_GBK" w:cs="方正仿宋_GBK"/>
          <w:b/>
          <w:bCs/>
          <w:color w:val="auto"/>
          <w:sz w:val="32"/>
          <w:lang w:val="en-US" w:eastAsia="zh-CN"/>
        </w:rPr>
        <w:t>3.结转结余情况。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度年末一般公共预算财政拨款结转和结余</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万元，与2023年度相比无增减</w:t>
      </w:r>
      <w:r>
        <w:rPr>
          <w:rFonts w:hint="eastAsia" w:ascii="Times New Roman" w:hAnsi="Times New Roman" w:eastAsia="方正仿宋_GBK" w:cs="方正仿宋_GBK"/>
          <w:sz w:val="32"/>
          <w:szCs w:val="32"/>
          <w:shd w:val="clear" w:color="auto" w:fill="FFFFFF"/>
          <w:lang w:val="en-US"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0" w:right="0" w:rightChars="0" w:firstLine="643"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b/>
          <w:bCs/>
          <w:kern w:val="2"/>
          <w:sz w:val="32"/>
          <w:szCs w:val="22"/>
          <w:lang w:val="en-US" w:eastAsia="zh-CN" w:bidi="ar-SA"/>
        </w:rPr>
        <w:t>4.比较情况。</w:t>
      </w:r>
      <w:r>
        <w:rPr>
          <w:rFonts w:hint="eastAsia" w:ascii="Times New Roman" w:hAnsi="Times New Roman" w:eastAsia="方正仿宋_GBK" w:cs="方正仿宋_GBK"/>
          <w:color w:val="auto"/>
          <w:sz w:val="32"/>
          <w:lang w:val="en-US" w:eastAsia="zh-CN"/>
        </w:rPr>
        <w:t>本单位2024年度一般公共预算财政拨款支出主要用于以下几个方面：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（1）教育支出0.57万元，占0.07%，较年初预算数减少1.93万元，下降77.20%，主要原因是</w:t>
      </w:r>
      <w:r>
        <w:rPr>
          <w:rFonts w:hint="eastAsia" w:ascii="Times New Roman" w:hAnsi="Times New Roman" w:eastAsia="方正仿宋_GBK" w:cs="方正仿宋_GBK"/>
          <w:sz w:val="32"/>
          <w:szCs w:val="32"/>
          <w:shd w:val="clear" w:color="auto" w:fill="FFFFFF"/>
          <w:lang w:eastAsia="zh-CN"/>
        </w:rPr>
        <w:t>全</w:t>
      </w:r>
      <w:r>
        <w:rPr>
          <w:rFonts w:hint="eastAsia" w:ascii="Times New Roman" w:hAnsi="Times New Roman" w:eastAsia="方正仿宋_GBK" w:cs="方正仿宋_GBK"/>
          <w:color w:val="auto"/>
          <w:sz w:val="32"/>
          <w:szCs w:val="32"/>
          <w:shd w:val="clear" w:color="auto" w:fill="FFFFFF"/>
          <w:lang w:eastAsia="zh-CN"/>
        </w:rPr>
        <w:t>年职工培训减少</w:t>
      </w:r>
      <w:r>
        <w:rPr>
          <w:rFonts w:hint="eastAsia" w:ascii="Times New Roman" w:hAnsi="Times New Roman" w:eastAsia="方正仿宋_GBK" w:cs="方正仿宋_GBK"/>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（2）社会保障与就业支出98.97万元，占11.62%，较年初预算数增加4.11万元，增长4.33%，主要原因是职工人数增加，保险缴费增加。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（3）卫生健康支出16.26万元，占1.91%，较年初预算数减少14.07万元，下降46.39%，主要原因是林场职工医疗保险缴费使用天保社会保险补助资金缴纳。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（4）节能环保支出122.15万元，占14.34%，较年初预算数增加107.60万元，增长739.52%，主要原因是森林管护和社会保险补助资金增加。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（5）农林水支出588.80万元，占69.13%，较年初预算数增加99.17万元，增长20.25%，主要原因是机构改革职工人数增加，工资福利等支出增加。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（6）住房保障支出24.96万元，占2.93%，较年初预算数增加5.04万元，增长25.3%，主要原因是机构改革职工人数增加，单位缴费增加。</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rightChars="0" w:firstLine="640" w:firstLineChars="200"/>
        <w:textAlignment w:val="auto"/>
        <w:outlineLvl w:val="1"/>
        <w:rPr>
          <w:rFonts w:hint="eastAsia" w:ascii="Times New Roman" w:hAnsi="Times New Roman" w:eastAsia="方正楷体_GBK" w:cs="方正楷体_GBK"/>
          <w:sz w:val="32"/>
          <w:szCs w:val="32"/>
          <w:lang w:val="en-US" w:eastAsia="zh-CN"/>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（四）一般公共预算财政拨款基本支出情况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2024年度一般公共预算财政拨款基本支出</w:t>
      </w:r>
      <w:r>
        <w:rPr>
          <w:rFonts w:ascii="Times New Roman" w:hAnsi="Times New Roman" w:eastAsia="方正仿宋_GBK" w:cs="方正仿宋_GBK"/>
          <w:sz w:val="32"/>
          <w:szCs w:val="32"/>
        </w:rPr>
        <w:t>682.71</w:t>
      </w:r>
      <w:r>
        <w:rPr>
          <w:rFonts w:hint="eastAsia" w:ascii="Times New Roman" w:hAnsi="Times New Roman" w:eastAsia="方正仿宋_GBK" w:cs="方正仿宋_GBK"/>
          <w:color w:val="auto"/>
          <w:sz w:val="32"/>
          <w:lang w:val="en-US" w:eastAsia="zh-CN"/>
        </w:rPr>
        <w:t>万元。其中：人员经费579.71万元，主要用于工资福利和对个人和家庭的补助支出，较上年决算数增加</w:t>
      </w:r>
      <w:r>
        <w:rPr>
          <w:rFonts w:ascii="Times New Roman" w:hAnsi="Times New Roman" w:eastAsia="方正仿宋_GBK" w:cs="方正仿宋_GBK"/>
          <w:sz w:val="32"/>
          <w:szCs w:val="32"/>
          <w:shd w:val="clear" w:color="auto" w:fill="FFFFFF"/>
        </w:rPr>
        <w:t>146.23万元，增长33.73%</w:t>
      </w:r>
      <w:r>
        <w:rPr>
          <w:rFonts w:hint="eastAsia" w:ascii="Times New Roman" w:hAnsi="Times New Roman" w:eastAsia="方正仿宋_GBK" w:cs="方正仿宋_GBK"/>
          <w:color w:val="auto"/>
          <w:sz w:val="32"/>
          <w:lang w:val="en-US" w:eastAsia="zh-CN"/>
        </w:rPr>
        <w:t>，主要原因是机构改革职工人数增加，工资福利支出增加。公用经费103万元，主要用于主要用于</w:t>
      </w:r>
      <w:r>
        <w:rPr>
          <w:rFonts w:hint="eastAsia" w:ascii="Times New Roman" w:hAnsi="Times New Roman" w:eastAsia="方正仿宋_GBK" w:cs="方正仿宋_GBK"/>
          <w:b w:val="0"/>
          <w:bCs w:val="0"/>
          <w:kern w:val="0"/>
          <w:sz w:val="32"/>
          <w:szCs w:val="32"/>
          <w:shd w:val="clear" w:color="auto" w:fill="FFFFFF"/>
        </w:rPr>
        <w:t>办公费、电费、邮电费、劳务费</w:t>
      </w:r>
      <w:r>
        <w:rPr>
          <w:rFonts w:hint="eastAsia" w:ascii="Times New Roman" w:hAnsi="Times New Roman" w:eastAsia="方正仿宋_GBK" w:cs="方正仿宋_GBK"/>
          <w:b w:val="0"/>
          <w:bCs w:val="0"/>
          <w:kern w:val="0"/>
          <w:sz w:val="32"/>
          <w:szCs w:val="32"/>
          <w:shd w:val="clear" w:color="auto" w:fill="FFFFFF"/>
          <w:lang w:eastAsia="zh-CN"/>
        </w:rPr>
        <w:t>、公务用车运行维护费、</w:t>
      </w:r>
      <w:r>
        <w:rPr>
          <w:rFonts w:hint="eastAsia" w:ascii="Times New Roman" w:hAnsi="Times New Roman" w:eastAsia="方正仿宋_GBK" w:cs="方正仿宋_GBK"/>
          <w:b w:val="0"/>
          <w:bCs w:val="0"/>
          <w:kern w:val="0"/>
          <w:sz w:val="32"/>
          <w:szCs w:val="32"/>
          <w:shd w:val="clear" w:color="auto" w:fill="FFFFFF"/>
        </w:rPr>
        <w:t>差旅费等</w:t>
      </w:r>
      <w:r>
        <w:rPr>
          <w:rFonts w:hint="eastAsia" w:ascii="Times New Roman" w:hAnsi="Times New Roman" w:eastAsia="方正仿宋_GBK" w:cs="方正仿宋_GBK"/>
          <w:color w:val="auto"/>
          <w:sz w:val="32"/>
          <w:lang w:val="en-US" w:eastAsia="zh-CN"/>
        </w:rPr>
        <w:t>，较上年决算数</w:t>
      </w:r>
      <w:r>
        <w:rPr>
          <w:rFonts w:ascii="Times New Roman" w:hAnsi="Times New Roman" w:eastAsia="方正仿宋_GBK" w:cs="方正仿宋_GBK"/>
          <w:sz w:val="32"/>
          <w:szCs w:val="32"/>
          <w:shd w:val="clear" w:color="auto" w:fill="FFFFFF"/>
        </w:rPr>
        <w:t>增加29.</w:t>
      </w:r>
      <w:r>
        <w:rPr>
          <w:rFonts w:hint="eastAsia" w:ascii="Times New Roman" w:hAnsi="Times New Roman" w:eastAsia="方正仿宋_GBK" w:cs="方正仿宋_GBK"/>
          <w:sz w:val="32"/>
          <w:szCs w:val="32"/>
          <w:shd w:val="clear" w:color="auto" w:fill="FFFFFF"/>
          <w:lang w:val="en-US" w:eastAsia="zh-CN"/>
        </w:rPr>
        <w:t>9</w:t>
      </w:r>
      <w:r>
        <w:rPr>
          <w:rFonts w:ascii="Times New Roman" w:hAnsi="Times New Roman" w:eastAsia="方正仿宋_GBK" w:cs="方正仿宋_GBK"/>
          <w:sz w:val="32"/>
          <w:szCs w:val="32"/>
          <w:shd w:val="clear" w:color="auto" w:fill="FFFFFF"/>
        </w:rPr>
        <w:t>万元，增长40.89%，</w:t>
      </w:r>
      <w:r>
        <w:rPr>
          <w:rFonts w:hint="eastAsia" w:ascii="Times New Roman" w:hAnsi="Times New Roman" w:eastAsia="方正仿宋_GBK" w:cs="方正仿宋_GBK"/>
          <w:color w:val="auto"/>
          <w:sz w:val="32"/>
          <w:lang w:val="en-US" w:eastAsia="zh-CN"/>
        </w:rPr>
        <w:t>主要原因是职工人数增加，单位运行成本增加。</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（五）政府性基金预算收支决算情况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度无政府性基金预算财政拨款收支</w:t>
      </w:r>
      <w:r>
        <w:rPr>
          <w:rFonts w:hint="eastAsia" w:ascii="Times New Roman" w:hAnsi="Times New Roman" w:eastAsia="方正仿宋_GBK" w:cs="方正仿宋_GBK"/>
          <w:color w:val="auto"/>
          <w:sz w:val="32"/>
          <w:szCs w:val="32"/>
          <w:shd w:val="clear" w:color="auto" w:fill="FFFFFF"/>
          <w:lang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（六）国有资本经营预算财政拨款支出决算情况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ascii="Times New Roman" w:hAnsi="Times New Roman" w:eastAsia="方正仿宋_GBK" w:cs="方正仿宋_GBK"/>
          <w:color w:val="auto"/>
          <w:sz w:val="32"/>
          <w:szCs w:val="32"/>
          <w:shd w:val="clear" w:color="auto" w:fill="FFFFFF"/>
        </w:rPr>
        <w:t>本单位</w:t>
      </w: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度无国有资本经营预算财政拨款支出。</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left="0" w:right="0" w:rightChars="0" w:firstLine="640" w:firstLineChars="200"/>
        <w:jc w:val="left"/>
        <w:textAlignment w:val="auto"/>
        <w:outlineLvl w:val="0"/>
        <w:rPr>
          <w:rStyle w:val="14"/>
          <w:rFonts w:hint="eastAsia" w:ascii="Times New Roman" w:hAnsi="Times New Roman" w:eastAsia="方正黑体_GBK" w:cs="方正黑体_GBK"/>
          <w:b w:val="0"/>
          <w:sz w:val="32"/>
          <w:szCs w:val="32"/>
          <w:shd w:val="clear" w:color="auto" w:fill="FFFFFF"/>
        </w:rPr>
      </w:pPr>
      <w:r>
        <w:rPr>
          <w:rStyle w:val="14"/>
          <w:rFonts w:hint="eastAsia" w:ascii="Times New Roman" w:hAnsi="Times New Roman" w:eastAsia="方正黑体_GBK" w:cs="方正黑体_GBK"/>
          <w:b w:val="0"/>
          <w:sz w:val="32"/>
          <w:szCs w:val="32"/>
          <w:shd w:val="clear" w:color="auto" w:fill="FFFFFF"/>
          <w:lang w:val="en-US" w:eastAsia="zh-CN"/>
        </w:rPr>
        <w:t>三、</w:t>
      </w:r>
      <w:r>
        <w:rPr>
          <w:rStyle w:val="14"/>
          <w:rFonts w:hint="eastAsia" w:ascii="Times New Roman" w:hAnsi="Times New Roman" w:eastAsia="方正黑体_GBK" w:cs="方正黑体_GBK"/>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（一）“三公”经费支出总体情况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2024年度“三公”经费支出共计</w:t>
      </w:r>
      <w:r>
        <w:rPr>
          <w:rFonts w:ascii="Times New Roman" w:hAnsi="Times New Roman" w:eastAsia="方正仿宋_GBK" w:cs="方正仿宋_GBK"/>
          <w:sz w:val="32"/>
          <w:szCs w:val="32"/>
        </w:rPr>
        <w:t>11.1</w:t>
      </w:r>
      <w:r>
        <w:rPr>
          <w:rFonts w:hint="eastAsia" w:ascii="Times New Roman" w:hAnsi="Times New Roman" w:eastAsia="方正仿宋_GBK" w:cs="方正仿宋_GBK"/>
          <w:color w:val="auto"/>
          <w:sz w:val="32"/>
          <w:lang w:val="en-US" w:eastAsia="zh-CN"/>
        </w:rPr>
        <w:t>万元，较年初预算数</w:t>
      </w:r>
      <w:r>
        <w:rPr>
          <w:rFonts w:ascii="Times New Roman" w:hAnsi="Times New Roman" w:eastAsia="方正仿宋_GBK" w:cs="方正仿宋_GBK"/>
          <w:sz w:val="32"/>
          <w:szCs w:val="32"/>
          <w:shd w:val="clear" w:color="auto" w:fill="FFFFFF"/>
        </w:rPr>
        <w:t>增加0.4万元，增长3.74%</w:t>
      </w:r>
      <w:r>
        <w:rPr>
          <w:rFonts w:hint="eastAsia" w:ascii="Times New Roman" w:hAnsi="Times New Roman" w:eastAsia="方正仿宋_GBK" w:cs="方正仿宋_GBK"/>
          <w:color w:val="auto"/>
          <w:sz w:val="32"/>
          <w:lang w:val="en-US" w:eastAsia="zh-CN"/>
        </w:rPr>
        <w:t>，主要原因是职工人数增加，用车增多，公车运行维护费用增加。较上年支出数</w:t>
      </w:r>
      <w:r>
        <w:rPr>
          <w:rFonts w:ascii="Times New Roman" w:hAnsi="Times New Roman" w:eastAsia="方正仿宋_GBK" w:cs="方正仿宋_GBK"/>
          <w:sz w:val="32"/>
          <w:szCs w:val="32"/>
          <w:shd w:val="clear" w:color="auto" w:fill="FFFFFF"/>
        </w:rPr>
        <w:t>减少13.36万元，下降54.62%</w:t>
      </w:r>
      <w:r>
        <w:rPr>
          <w:rFonts w:hint="eastAsia" w:ascii="Times New Roman" w:hAnsi="Times New Roman" w:eastAsia="方正仿宋_GBK" w:cs="方正仿宋_GBK"/>
          <w:color w:val="auto"/>
          <w:sz w:val="32"/>
          <w:lang w:val="en-US" w:eastAsia="zh-CN"/>
        </w:rPr>
        <w:t>，主要原因是公务用车购置费减少。</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（二）“三公”经费分项支出情况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因公出国（境）费用0万元。费用支出较年初预算数持平。较上年支出数持平。</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公务车购置费用0万元。费用支出较年初预算数持平，较上年支出数</w:t>
      </w:r>
      <w:r>
        <w:rPr>
          <w:rFonts w:ascii="Times New Roman" w:hAnsi="Times New Roman" w:eastAsia="方正仿宋_GBK" w:cs="方正仿宋_GBK"/>
          <w:sz w:val="32"/>
          <w:szCs w:val="32"/>
          <w:shd w:val="clear" w:color="auto" w:fill="FFFFFF"/>
        </w:rPr>
        <w:t>减少17.76万元，下降100%</w:t>
      </w:r>
      <w:r>
        <w:rPr>
          <w:rFonts w:hint="eastAsia" w:ascii="Times New Roman" w:hAnsi="Times New Roman" w:eastAsia="方正仿宋_GBK" w:cs="方正仿宋_GBK"/>
          <w:color w:val="auto"/>
          <w:sz w:val="32"/>
          <w:lang w:val="en-US" w:eastAsia="zh-CN"/>
        </w:rPr>
        <w:t>，主要原因是2024年无公务车购置费用。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公务车运行维护费</w:t>
      </w:r>
      <w:r>
        <w:rPr>
          <w:rFonts w:ascii="Times New Roman" w:hAnsi="Times New Roman" w:eastAsia="方正仿宋_GBK" w:cs="方正仿宋_GBK"/>
          <w:sz w:val="32"/>
          <w:szCs w:val="32"/>
        </w:rPr>
        <w:t>10.44</w:t>
      </w:r>
      <w:r>
        <w:rPr>
          <w:rFonts w:hint="eastAsia" w:ascii="Times New Roman" w:hAnsi="Times New Roman" w:eastAsia="方正仿宋_GBK" w:cs="方正仿宋_GBK"/>
          <w:color w:val="auto"/>
          <w:sz w:val="32"/>
          <w:lang w:val="en-US" w:eastAsia="zh-CN"/>
        </w:rPr>
        <w:t>万元，主要用于公务用车燃料费、维修费、保险费、过桥过路费等。费用支出较年初预算数增加</w:t>
      </w:r>
      <w:r>
        <w:rPr>
          <w:rFonts w:ascii="Times New Roman" w:hAnsi="Times New Roman" w:eastAsia="方正仿宋_GBK" w:cs="方正仿宋_GBK"/>
          <w:sz w:val="32"/>
          <w:szCs w:val="32"/>
          <w:shd w:val="clear" w:color="auto" w:fill="FFFFFF"/>
        </w:rPr>
        <w:t>1.44</w:t>
      </w:r>
      <w:r>
        <w:rPr>
          <w:rFonts w:hint="eastAsia" w:ascii="Times New Roman" w:hAnsi="Times New Roman" w:eastAsia="方正仿宋_GBK" w:cs="方正仿宋_GBK"/>
          <w:color w:val="auto"/>
          <w:sz w:val="32"/>
          <w:lang w:val="en-US" w:eastAsia="zh-CN"/>
        </w:rPr>
        <w:t>万元，较上年支出数</w:t>
      </w:r>
      <w:r>
        <w:rPr>
          <w:rFonts w:ascii="Times New Roman" w:hAnsi="Times New Roman" w:eastAsia="方正仿宋_GBK" w:cs="方正仿宋_GBK"/>
          <w:sz w:val="32"/>
          <w:szCs w:val="32"/>
          <w:shd w:val="clear" w:color="auto" w:fill="FFFFFF"/>
        </w:rPr>
        <w:t>增加4.14万元</w:t>
      </w:r>
      <w:r>
        <w:rPr>
          <w:rFonts w:hint="eastAsia" w:ascii="Times New Roman" w:hAnsi="Times New Roman" w:eastAsia="方正仿宋_GBK" w:cs="方正仿宋_GBK"/>
          <w:color w:val="auto"/>
          <w:sz w:val="32"/>
          <w:lang w:val="en-US" w:eastAsia="zh-CN"/>
        </w:rPr>
        <w:t>，增长</w:t>
      </w:r>
      <w:r>
        <w:rPr>
          <w:rFonts w:ascii="Times New Roman" w:hAnsi="Times New Roman" w:eastAsia="方正仿宋_GBK" w:cs="方正仿宋_GBK"/>
          <w:sz w:val="32"/>
          <w:szCs w:val="32"/>
          <w:shd w:val="clear" w:color="auto" w:fill="FFFFFF"/>
        </w:rPr>
        <w:t>65.71</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color w:val="auto"/>
          <w:sz w:val="32"/>
          <w:lang w:val="en-US" w:eastAsia="zh-CN"/>
        </w:rPr>
        <w:t>，主要原因是职工人数增加，用车频率增多。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公务接待费0.66万元，主要用于各类公务接待支出。费用支出较年初预算数</w:t>
      </w:r>
      <w:r>
        <w:rPr>
          <w:rFonts w:ascii="Times New Roman" w:hAnsi="Times New Roman" w:eastAsia="方正仿宋_GBK" w:cs="方正仿宋_GBK"/>
          <w:sz w:val="32"/>
          <w:szCs w:val="32"/>
          <w:shd w:val="clear" w:color="auto" w:fill="FFFFFF"/>
        </w:rPr>
        <w:t>减少1.04万</w:t>
      </w:r>
      <w:r>
        <w:rPr>
          <w:rFonts w:hint="eastAsia" w:ascii="Times New Roman" w:hAnsi="Times New Roman" w:eastAsia="方正仿宋_GBK" w:cs="方正仿宋_GBK"/>
          <w:color w:val="auto"/>
          <w:sz w:val="32"/>
          <w:lang w:val="en-US" w:eastAsia="zh-CN"/>
        </w:rPr>
        <w:t>，较上年支出数增加</w:t>
      </w:r>
      <w:r>
        <w:rPr>
          <w:rFonts w:ascii="Times New Roman" w:hAnsi="Times New Roman" w:eastAsia="方正仿宋_GBK" w:cs="方正仿宋_GBK"/>
          <w:sz w:val="32"/>
          <w:szCs w:val="32"/>
          <w:shd w:val="clear" w:color="auto" w:fill="FFFFFF"/>
        </w:rPr>
        <w:t>0.26万元，增长65%</w:t>
      </w:r>
      <w:r>
        <w:rPr>
          <w:rFonts w:hint="eastAsia" w:ascii="Times New Roman" w:hAnsi="Times New Roman" w:eastAsia="方正仿宋_GBK" w:cs="方正仿宋_GBK"/>
          <w:color w:val="auto"/>
          <w:sz w:val="32"/>
          <w:lang w:val="en-US" w:eastAsia="zh-CN"/>
        </w:rPr>
        <w:t>，主要原因是接待考察增多。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Fonts w:hint="eastAsia" w:ascii="Times New Roman" w:hAnsi="Times New Roman" w:eastAsia="方正楷体_GBK" w:cs="方正楷体_GBK"/>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（三）“三公”经费实物量情况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lang w:val="en-US" w:eastAsia="zh-CN"/>
        </w:rPr>
        <w:t>2024年度本单位因公出国（境）共计0个团组，0人；公务用车购置0辆，公务车保有量为3辆；国内公务接待12批次80人，其中：国内外事接待0批次，0人；国（境）外公务接待0批次，0人。人均接待费82.28元，车均购置费0万元，车均维护费3.48万元。</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left="0" w:right="0" w:rightChars="0" w:firstLine="640" w:firstLineChars="200"/>
        <w:jc w:val="left"/>
        <w:textAlignment w:val="auto"/>
        <w:outlineLvl w:val="0"/>
        <w:rPr>
          <w:rStyle w:val="14"/>
          <w:rFonts w:hint="eastAsia" w:ascii="Times New Roman" w:hAnsi="Times New Roman" w:eastAsia="方正黑体_GBK" w:cs="方正黑体_GBK"/>
          <w:b w:val="0"/>
          <w:sz w:val="32"/>
          <w:szCs w:val="32"/>
          <w:shd w:val="clear" w:color="auto" w:fill="FFFFFF"/>
        </w:rPr>
      </w:pPr>
      <w:r>
        <w:rPr>
          <w:rStyle w:val="14"/>
          <w:rFonts w:hint="eastAsia" w:ascii="Times New Roman" w:hAnsi="Times New Roman" w:eastAsia="方正黑体_GBK" w:cs="方正黑体_GBK"/>
          <w:b w:val="0"/>
          <w:sz w:val="32"/>
          <w:szCs w:val="32"/>
          <w:shd w:val="clear" w:color="auto" w:fill="FFFFFF"/>
          <w:lang w:val="en-US" w:eastAsia="zh-CN"/>
        </w:rPr>
        <w:t>四、</w:t>
      </w:r>
      <w:r>
        <w:rPr>
          <w:rStyle w:val="14"/>
          <w:rFonts w:hint="eastAsia" w:ascii="Times New Roman" w:hAnsi="Times New Roman" w:eastAsia="方正黑体_GBK" w:cs="方正黑体_GBK"/>
          <w:b w:val="0"/>
          <w:sz w:val="32"/>
          <w:szCs w:val="32"/>
          <w:shd w:val="clear" w:color="auto" w:fill="FFFFFF"/>
        </w:rPr>
        <w:t>其他需要说明的事项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default"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（一）财政拨款会议费和培训费情况</w:t>
      </w:r>
    </w:p>
    <w:p>
      <w:pPr>
        <w:pStyle w:val="5"/>
        <w:keepNext w:val="0"/>
        <w:keepLines w:val="0"/>
        <w:pageBreakBefore w:val="0"/>
        <w:kinsoku/>
        <w:wordWrap/>
        <w:overflowPunct/>
        <w:topLinePunct w:val="0"/>
        <w:autoSpaceDN/>
        <w:bidi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val="en-US" w:eastAsia="zh-CN"/>
        </w:rPr>
        <w:t>2024</w:t>
      </w:r>
      <w:r>
        <w:rPr>
          <w:rFonts w:ascii="Times New Roman" w:hAnsi="Times New Roman" w:eastAsia="方正仿宋_GBK" w:cs="方正仿宋_GBK"/>
          <w:sz w:val="32"/>
          <w:szCs w:val="32"/>
          <w:shd w:val="clear" w:color="auto" w:fill="FFFFFF"/>
        </w:rPr>
        <w:t>年度会议费支出</w:t>
      </w:r>
      <w:r>
        <w:rPr>
          <w:rFonts w:ascii="Times New Roman" w:hAnsi="Times New Roman" w:eastAsia="方正仿宋_GBK" w:cs="方正仿宋_GBK"/>
          <w:sz w:val="32"/>
          <w:szCs w:val="32"/>
        </w:rPr>
        <w:t>0.47</w:t>
      </w:r>
      <w:r>
        <w:rPr>
          <w:rFonts w:ascii="Times New Roman" w:hAnsi="Times New Roman" w:eastAsia="方正仿宋_GBK" w:cs="方正仿宋_GBK"/>
          <w:sz w:val="32"/>
          <w:szCs w:val="32"/>
          <w:shd w:val="clear" w:color="auto" w:fill="FFFFFF"/>
        </w:rPr>
        <w:t>万元，与2023年度相比增加0.05万元，增长11.9%</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参加区外会议，费用增加</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0.57</w:t>
      </w:r>
      <w:r>
        <w:rPr>
          <w:rFonts w:ascii="Times New Roman" w:hAnsi="Times New Roman" w:eastAsia="方正仿宋_GBK" w:cs="方正仿宋_GBK"/>
          <w:sz w:val="32"/>
          <w:szCs w:val="32"/>
          <w:shd w:val="clear" w:color="auto" w:fill="FFFFFF"/>
        </w:rPr>
        <w:t>万元，与2023年度相比减少0.48万元，下降45.71%，主要原因是</w:t>
      </w:r>
      <w:r>
        <w:rPr>
          <w:rFonts w:hint="eastAsia" w:ascii="Times New Roman" w:hAnsi="Times New Roman" w:eastAsia="方正仿宋_GBK" w:cs="方正仿宋_GBK"/>
          <w:sz w:val="32"/>
          <w:szCs w:val="32"/>
          <w:shd w:val="clear" w:color="auto" w:fill="FFFFFF"/>
          <w:lang w:eastAsia="zh-CN"/>
        </w:rPr>
        <w:t>减少非必要性培训</w:t>
      </w:r>
      <w:r>
        <w:rPr>
          <w:rFonts w:ascii="Times New Roman" w:hAnsi="Times New Roman" w:eastAsia="方正仿宋_GBK" w:cs="方正仿宋_GBK"/>
          <w:sz w:val="32"/>
          <w:szCs w:val="32"/>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default"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（二）机关运行经费情况</w:t>
      </w:r>
    </w:p>
    <w:p>
      <w:pPr>
        <w:keepNext w:val="0"/>
        <w:keepLines w:val="0"/>
        <w:pageBreakBefore w:val="0"/>
        <w:kinsoku/>
        <w:wordWrap/>
        <w:overflowPunct/>
        <w:topLinePunct w:val="0"/>
        <w:autoSpaceDN/>
        <w:bidi w:val="0"/>
        <w:snapToGrid/>
        <w:spacing w:line="579" w:lineRule="exact"/>
        <w:ind w:right="0" w:firstLine="640" w:firstLineChars="200"/>
        <w:textAlignment w:val="auto"/>
        <w:rPr>
          <w:rFonts w:hint="eastAsia" w:ascii="Times New Roman" w:hAnsi="Times New Roman" w:eastAsia="方正仿宋_GBK" w:cs="方正仿宋_GBK"/>
          <w:color w:val="auto"/>
          <w:kern w:val="0"/>
          <w:sz w:val="32"/>
          <w:szCs w:val="32"/>
          <w:lang w:val="en-US" w:eastAsia="zh-CN"/>
        </w:rPr>
      </w:pPr>
      <w:r>
        <w:rPr>
          <w:rFonts w:hint="eastAsia" w:ascii="Times New Roman" w:hAnsi="Times New Roman" w:eastAsia="方正仿宋_GBK" w:cs="方正仿宋_GBK"/>
          <w:color w:val="auto"/>
          <w:kern w:val="0"/>
          <w:sz w:val="32"/>
          <w:szCs w:val="32"/>
        </w:rPr>
        <w:t>按照部门决算列报口径，我单位不在机关运行经费统计范围之内</w:t>
      </w:r>
      <w:r>
        <w:rPr>
          <w:rFonts w:hint="eastAsia" w:ascii="Times New Roman" w:hAnsi="Times New Roman" w:eastAsia="方正仿宋_GBK" w:cs="方正仿宋_GBK"/>
          <w:color w:val="auto"/>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（三）国有资产占用情况说明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截至202</w:t>
      </w:r>
      <w:r>
        <w:rPr>
          <w:rFonts w:hint="eastAsia" w:ascii="Times New Roman" w:hAnsi="Times New Roman" w:eastAsia="方正仿宋_GBK" w:cs="方正仿宋_GBK"/>
          <w:kern w:val="0"/>
          <w:sz w:val="32"/>
          <w:szCs w:val="32"/>
          <w:lang w:val="en-US" w:eastAsia="zh-CN"/>
        </w:rPr>
        <w:t>4</w:t>
      </w:r>
      <w:r>
        <w:rPr>
          <w:rFonts w:hint="eastAsia" w:ascii="Times New Roman" w:hAnsi="Times New Roman" w:eastAsia="方正仿宋_GBK" w:cs="方正仿宋_GBK"/>
          <w:kern w:val="0"/>
          <w:sz w:val="32"/>
          <w:szCs w:val="32"/>
        </w:rPr>
        <w:t>年12月31日，本</w:t>
      </w:r>
      <w:r>
        <w:rPr>
          <w:rFonts w:hint="eastAsia" w:ascii="Times New Roman" w:hAnsi="Times New Roman" w:eastAsia="方正仿宋_GBK" w:cs="方正仿宋_GBK"/>
          <w:kern w:val="0"/>
          <w:sz w:val="32"/>
          <w:szCs w:val="32"/>
          <w:lang w:eastAsia="zh-CN"/>
        </w:rPr>
        <w:t>单位</w:t>
      </w:r>
      <w:r>
        <w:rPr>
          <w:rFonts w:hint="eastAsia" w:ascii="Times New Roman" w:hAnsi="Times New Roman" w:eastAsia="方正仿宋_GBK" w:cs="方正仿宋_GBK"/>
          <w:kern w:val="0"/>
          <w:sz w:val="32"/>
          <w:szCs w:val="32"/>
        </w:rPr>
        <w:t>共有车辆</w:t>
      </w:r>
      <w:r>
        <w:rPr>
          <w:rFonts w:hint="eastAsia" w:ascii="Times New Roman" w:hAnsi="Times New Roman" w:eastAsia="方正仿宋_GBK" w:cs="方正仿宋_GBK"/>
          <w:kern w:val="0"/>
          <w:sz w:val="32"/>
          <w:szCs w:val="32"/>
          <w:lang w:val="en-US" w:eastAsia="zh-CN"/>
        </w:rPr>
        <w:t>3</w:t>
      </w:r>
      <w:r>
        <w:rPr>
          <w:rFonts w:hint="eastAsia" w:ascii="Times New Roman" w:hAnsi="Times New Roman" w:eastAsia="方正仿宋_GBK" w:cs="方正仿宋_GBK"/>
          <w:kern w:val="0"/>
          <w:sz w:val="32"/>
          <w:szCs w:val="32"/>
        </w:rPr>
        <w:t>辆。其中：副部（省）级及以上领导用车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辆，主要</w:t>
      </w:r>
      <w:r>
        <w:rPr>
          <w:rFonts w:hint="eastAsia" w:ascii="Times New Roman" w:hAnsi="Times New Roman" w:eastAsia="方正仿宋_GBK" w:cs="方正仿宋_GBK"/>
          <w:kern w:val="0"/>
          <w:sz w:val="32"/>
          <w:szCs w:val="32"/>
          <w:lang w:val="en-US" w:eastAsia="zh-CN"/>
        </w:rPr>
        <w:t>负责人</w:t>
      </w:r>
      <w:r>
        <w:rPr>
          <w:rFonts w:hint="eastAsia" w:ascii="Times New Roman" w:hAnsi="Times New Roman" w:eastAsia="方正仿宋_GBK" w:cs="方正仿宋_GBK"/>
          <w:kern w:val="0"/>
          <w:sz w:val="32"/>
          <w:szCs w:val="32"/>
        </w:rPr>
        <w:t>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辆，机要通信用车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辆，应急保障用车</w:t>
      </w:r>
      <w:r>
        <w:rPr>
          <w:rFonts w:hint="eastAsia" w:ascii="Times New Roman" w:hAnsi="Times New Roman" w:eastAsia="方正仿宋_GBK" w:cs="方正仿宋_GBK"/>
          <w:kern w:val="0"/>
          <w:sz w:val="32"/>
          <w:szCs w:val="32"/>
          <w:lang w:val="en-US" w:eastAsia="zh-CN"/>
        </w:rPr>
        <w:t>3</w:t>
      </w:r>
      <w:r>
        <w:rPr>
          <w:rFonts w:hint="eastAsia" w:ascii="Times New Roman" w:hAnsi="Times New Roman" w:eastAsia="方正仿宋_GBK" w:cs="方正仿宋_GBK"/>
          <w:kern w:val="0"/>
          <w:sz w:val="32"/>
          <w:szCs w:val="32"/>
        </w:rPr>
        <w:t>辆，执法执勤用车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辆，特种专业技术用车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辆，离退休干部</w:t>
      </w:r>
      <w:r>
        <w:rPr>
          <w:rFonts w:hint="eastAsia" w:ascii="Times New Roman" w:hAnsi="Times New Roman" w:eastAsia="方正仿宋_GBK" w:cs="方正仿宋_GBK"/>
          <w:kern w:val="0"/>
          <w:sz w:val="32"/>
          <w:szCs w:val="32"/>
          <w:lang w:val="en-US" w:eastAsia="zh-CN"/>
        </w:rPr>
        <w:t>服务</w:t>
      </w:r>
      <w:r>
        <w:rPr>
          <w:rFonts w:hint="eastAsia" w:ascii="Times New Roman" w:hAnsi="Times New Roman" w:eastAsia="方正仿宋_GBK" w:cs="方正仿宋_GBK"/>
          <w:kern w:val="0"/>
          <w:sz w:val="32"/>
          <w:szCs w:val="32"/>
        </w:rPr>
        <w:t>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辆，其他用车</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辆。单价100万元（含）以上设备</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lang w:val="en-US" w:eastAsia="zh-CN"/>
        </w:rPr>
        <w:t>不含车辆</w:t>
      </w:r>
      <w:r>
        <w:rPr>
          <w:rFonts w:hint="eastAsia" w:ascii="Times New Roman" w:hAnsi="Times New Roman" w:eastAsia="方正仿宋_GBK" w:cs="方正仿宋_GBK"/>
          <w:kern w:val="0"/>
          <w:sz w:val="32"/>
          <w:szCs w:val="32"/>
          <w:lang w:eastAsia="zh-CN"/>
        </w:rPr>
        <w:t>）</w:t>
      </w:r>
      <w:r>
        <w:rPr>
          <w:rFonts w:hint="eastAsia" w:ascii="Times New Roman" w:hAnsi="Times New Roman" w:eastAsia="方正仿宋_GBK" w:cs="方正仿宋_GBK"/>
          <w:kern w:val="0"/>
          <w:sz w:val="32"/>
          <w:szCs w:val="32"/>
          <w:lang w:val="en-US" w:eastAsia="zh-CN"/>
        </w:rPr>
        <w:t>0</w:t>
      </w:r>
      <w:r>
        <w:rPr>
          <w:rFonts w:hint="eastAsia" w:ascii="Times New Roman" w:hAnsi="Times New Roman" w:eastAsia="方正仿宋_GBK" w:cs="方正仿宋_GBK"/>
          <w:kern w:val="0"/>
          <w:sz w:val="32"/>
          <w:szCs w:val="32"/>
        </w:rPr>
        <w:t>台（套）。</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（四）政府采购支出说明</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color w:val="auto"/>
          <w:sz w:val="32"/>
          <w:lang w:val="en-US" w:eastAsia="zh-CN"/>
        </w:rPr>
      </w:pPr>
      <w:r>
        <w:rPr>
          <w:rFonts w:hint="eastAsia" w:ascii="Times New Roman" w:hAnsi="Times New Roman" w:eastAsia="方正仿宋_GBK" w:cs="方正仿宋_GBK"/>
          <w:color w:val="auto"/>
          <w:sz w:val="32"/>
          <w:szCs w:val="32"/>
          <w:shd w:val="clear" w:color="auto" w:fill="FFFFFF"/>
          <w:lang w:eastAsia="zh-CN"/>
        </w:rPr>
        <w:t>2024年</w:t>
      </w:r>
      <w:r>
        <w:rPr>
          <w:rFonts w:ascii="Times New Roman" w:hAnsi="Times New Roman" w:eastAsia="方正仿宋_GBK" w:cs="方正仿宋_GBK"/>
          <w:color w:val="auto"/>
          <w:sz w:val="32"/>
          <w:szCs w:val="32"/>
          <w:shd w:val="clear" w:color="auto" w:fill="FFFFFF"/>
        </w:rPr>
        <w:t>度我单位未发生政府采购事项，无相关经费支出。</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left"/>
        <w:textAlignment w:val="auto"/>
        <w:outlineLvl w:val="0"/>
        <w:rPr>
          <w:rFonts w:hint="eastAsia" w:ascii="Times New Roman" w:hAnsi="Times New Roman" w:eastAsia="方正黑体_GBK" w:cs="方正黑体_GBK"/>
          <w:b w:val="0"/>
          <w:bCs/>
          <w:sz w:val="32"/>
          <w:szCs w:val="32"/>
          <w:lang w:eastAsia="zh-CN"/>
        </w:rPr>
      </w:pPr>
      <w:r>
        <w:rPr>
          <w:rStyle w:val="8"/>
          <w:rFonts w:hint="eastAsia" w:ascii="Times New Roman" w:hAnsi="Times New Roman" w:eastAsia="方正黑体_GBK" w:cs="方正黑体_GBK"/>
          <w:b w:val="0"/>
          <w:bCs/>
          <w:sz w:val="32"/>
          <w:szCs w:val="32"/>
          <w:shd w:val="clear" w:color="auto" w:fill="FFFFFF"/>
        </w:rPr>
        <w:t>五、预算绩效管理情况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outlineLvl w:val="1"/>
        <w:rPr>
          <w:rFonts w:hint="eastAsia" w:ascii="Times New Roman" w:hAnsi="Times New Roman" w:eastAsia="方正楷体_GBK" w:cs="方正楷体_GBK"/>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（一）预算绩效管理工作开展情况</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rPr>
          <w:rFonts w:hint="eastAsia" w:ascii="Times New Roman" w:hAnsi="Times New Roman" w:eastAsia="方正仿宋_GBK" w:cs="方正仿宋_GBK"/>
        </w:rPr>
      </w:pPr>
      <w:r>
        <w:rPr>
          <w:rFonts w:hint="eastAsia" w:ascii="Times New Roman" w:hAnsi="Times New Roman" w:eastAsia="方正仿宋_GBK" w:cs="方正仿宋_GBK"/>
          <w:kern w:val="0"/>
          <w:sz w:val="32"/>
          <w:szCs w:val="32"/>
        </w:rPr>
        <w:t>根据预算绩效管理要求，我</w:t>
      </w:r>
      <w:r>
        <w:rPr>
          <w:rFonts w:hint="eastAsia" w:ascii="Times New Roman" w:hAnsi="Times New Roman" w:eastAsia="方正仿宋_GBK" w:cs="方正仿宋_GBK"/>
          <w:kern w:val="0"/>
          <w:sz w:val="32"/>
          <w:szCs w:val="32"/>
          <w:lang w:eastAsia="zh-CN"/>
        </w:rPr>
        <w:t>单位</w:t>
      </w:r>
      <w:r>
        <w:rPr>
          <w:rFonts w:hint="eastAsia" w:ascii="Times New Roman" w:hAnsi="Times New Roman" w:eastAsia="方正仿宋_GBK" w:cs="方正仿宋_GBK"/>
          <w:kern w:val="0"/>
          <w:sz w:val="32"/>
          <w:szCs w:val="32"/>
        </w:rPr>
        <w:t>对</w:t>
      </w:r>
      <w:r>
        <w:rPr>
          <w:rFonts w:hint="eastAsia" w:ascii="Times New Roman" w:hAnsi="Times New Roman" w:eastAsia="方正仿宋_GBK" w:cs="方正仿宋_GBK"/>
          <w:kern w:val="0"/>
          <w:sz w:val="32"/>
          <w:szCs w:val="32"/>
          <w:lang w:val="en-US" w:eastAsia="zh-CN"/>
        </w:rPr>
        <w:t>5</w:t>
      </w:r>
      <w:r>
        <w:rPr>
          <w:rFonts w:hint="eastAsia" w:ascii="Times New Roman" w:hAnsi="Times New Roman" w:eastAsia="方正仿宋_GBK" w:cs="方正仿宋_GBK"/>
          <w:kern w:val="0"/>
          <w:sz w:val="32"/>
          <w:szCs w:val="32"/>
        </w:rPr>
        <w:t>个项目开展了绩效自评，其中，以填报目标自评表形式开展自评</w:t>
      </w:r>
      <w:r>
        <w:rPr>
          <w:rFonts w:hint="eastAsia" w:ascii="Times New Roman" w:hAnsi="Times New Roman" w:eastAsia="方正仿宋_GBK" w:cs="方正仿宋_GBK"/>
          <w:kern w:val="0"/>
          <w:sz w:val="32"/>
          <w:szCs w:val="32"/>
          <w:lang w:val="en-US" w:eastAsia="zh-CN"/>
        </w:rPr>
        <w:t>5</w:t>
      </w:r>
      <w:r>
        <w:rPr>
          <w:rFonts w:hint="eastAsia" w:ascii="Times New Roman" w:hAnsi="Times New Roman" w:eastAsia="方正仿宋_GBK" w:cs="方正仿宋_GBK"/>
          <w:kern w:val="0"/>
          <w:sz w:val="32"/>
          <w:szCs w:val="32"/>
        </w:rPr>
        <w:t>项，涉及资金</w:t>
      </w:r>
      <w:r>
        <w:rPr>
          <w:rFonts w:hint="eastAsia" w:ascii="Times New Roman" w:hAnsi="Times New Roman" w:eastAsia="方正仿宋_GBK" w:cs="方正仿宋_GBK"/>
          <w:kern w:val="0"/>
          <w:sz w:val="32"/>
          <w:szCs w:val="32"/>
          <w:lang w:val="en-US" w:eastAsia="zh-CN"/>
        </w:rPr>
        <w:t>168.99</w:t>
      </w:r>
      <w:r>
        <w:rPr>
          <w:rFonts w:hint="eastAsia" w:ascii="Times New Roman" w:hAnsi="Times New Roman" w:eastAsia="方正仿宋_GBK" w:cs="方正仿宋_GBK"/>
          <w:kern w:val="0"/>
          <w:sz w:val="32"/>
          <w:szCs w:val="32"/>
        </w:rPr>
        <w:t>万元</w:t>
      </w:r>
      <w:r>
        <w:rPr>
          <w:rFonts w:hint="eastAsia" w:ascii="Times New Roman" w:hAnsi="Times New Roman" w:eastAsia="方正仿宋_GBK" w:cs="方正仿宋_GBK"/>
          <w:kern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0" w:firstLineChars="200"/>
        <w:jc w:val="left"/>
        <w:textAlignment w:val="auto"/>
        <w:outlineLvl w:val="1"/>
        <w:rPr>
          <w:rStyle w:val="14"/>
          <w:rFonts w:hint="eastAsia" w:ascii="Times New Roman" w:hAnsi="Times New Roman" w:eastAsia="方正楷体_GBK" w:cs="方正楷体_GBK"/>
          <w:b w:val="0"/>
          <w:bCs/>
          <w:kern w:val="2"/>
          <w:sz w:val="32"/>
          <w:szCs w:val="32"/>
          <w:shd w:val="clear" w:color="auto" w:fill="FFFFFF"/>
          <w:lang w:val="en-US" w:eastAsia="zh-CN" w:bidi="ar-SA"/>
        </w:rPr>
      </w:pPr>
      <w:r>
        <w:rPr>
          <w:rStyle w:val="14"/>
          <w:rFonts w:hint="eastAsia" w:ascii="Times New Roman" w:hAnsi="Times New Roman" w:eastAsia="方正楷体_GBK" w:cs="方正楷体_GBK"/>
          <w:b w:val="0"/>
          <w:bCs/>
          <w:kern w:val="2"/>
          <w:sz w:val="32"/>
          <w:szCs w:val="32"/>
          <w:shd w:val="clear" w:color="auto" w:fill="FFFFFF"/>
          <w:lang w:val="en-US" w:eastAsia="zh-CN" w:bidi="ar-SA"/>
        </w:rPr>
        <w:t>（二）绩效自评结果</w:t>
      </w:r>
    </w:p>
    <w:p>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right="0" w:firstLine="643" w:firstLineChars="200"/>
        <w:jc w:val="left"/>
        <w:textAlignment w:val="auto"/>
        <w:rPr>
          <w:rFonts w:hint="eastAsia" w:ascii="Times New Roman" w:hAnsi="Times New Roman" w:eastAsia="方正仿宋_GBK" w:cs="方正仿宋_GBK"/>
          <w:b/>
          <w:bCs/>
          <w:color w:val="auto"/>
          <w:sz w:val="32"/>
          <w:lang w:val="en-US" w:eastAsia="zh-CN"/>
        </w:rPr>
      </w:pPr>
      <w:r>
        <w:rPr>
          <w:rFonts w:hint="eastAsia" w:ascii="Times New Roman" w:hAnsi="Times New Roman" w:eastAsia="方正仿宋_GBK" w:cs="方正仿宋_GBK"/>
          <w:b/>
          <w:bCs/>
          <w:color w:val="auto"/>
          <w:sz w:val="32"/>
          <w:lang w:val="en-US" w:eastAsia="zh-CN"/>
        </w:rPr>
        <w:t>1.绩效目标自评表</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公开内容。详见表格。</w:t>
      </w:r>
    </w:p>
    <w:p>
      <w:pPr>
        <w:pStyle w:val="9"/>
        <w:keepNext w:val="0"/>
        <w:keepLines w:val="0"/>
        <w:pageBreakBefore w:val="0"/>
        <w:tabs>
          <w:tab w:val="center" w:pos="4153"/>
          <w:tab w:val="left" w:pos="7275"/>
        </w:tabs>
        <w:kinsoku/>
        <w:wordWrap/>
        <w:overflowPunct/>
        <w:topLinePunct w:val="0"/>
        <w:autoSpaceDN/>
        <w:bidi w:val="0"/>
        <w:snapToGrid/>
        <w:spacing w:line="579" w:lineRule="exact"/>
        <w:ind w:left="0" w:right="0" w:firstLine="0" w:firstLineChars="0"/>
        <w:jc w:val="center"/>
        <w:textAlignment w:val="auto"/>
        <w:rPr>
          <w:rFonts w:hint="eastAsia" w:ascii="Times New Roman" w:hAnsi="Times New Roman" w:eastAsia="方正黑体_GBK" w:cs="方正黑体_GBK"/>
          <w:b w:val="0"/>
          <w:bCs w:val="0"/>
          <w:color w:val="000000"/>
          <w:kern w:val="0"/>
          <w:sz w:val="36"/>
          <w:szCs w:val="36"/>
        </w:rPr>
      </w:pPr>
      <w:r>
        <w:rPr>
          <w:rFonts w:hint="eastAsia" w:ascii="Times New Roman" w:hAnsi="Times New Roman" w:eastAsia="方正黑体_GBK" w:cs="方正黑体_GBK"/>
          <w:b w:val="0"/>
          <w:bCs w:val="0"/>
          <w:color w:val="000000"/>
          <w:kern w:val="0"/>
          <w:sz w:val="36"/>
          <w:szCs w:val="36"/>
          <w:lang w:val="en-US" w:eastAsia="zh-CN"/>
        </w:rPr>
        <w:t>2024年度项目</w:t>
      </w:r>
      <w:r>
        <w:rPr>
          <w:rFonts w:hint="eastAsia" w:ascii="Times New Roman" w:hAnsi="Times New Roman"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名称</w:t>
            </w:r>
          </w:p>
        </w:tc>
        <w:tc>
          <w:tcPr>
            <w:tcW w:w="3701" w:type="dxa"/>
            <w:gridSpan w:val="6"/>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聘请护林员</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自评</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总分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c>
          <w:tcPr>
            <w:tcW w:w="4348"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项目</w:t>
            </w:r>
            <w:r>
              <w:rPr>
                <w:rFonts w:hint="eastAsia" w:ascii="Times New Roman" w:hAnsi="Times New Roman" w:eastAsia="方正仿宋_GBK" w:cs="方正仿宋_GBK"/>
                <w:color w:val="000000"/>
                <w:kern w:val="0"/>
                <w:sz w:val="24"/>
                <w:szCs w:val="24"/>
              </w:rPr>
              <w:t>主管</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部门</w:t>
            </w: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重庆市江津区林业局</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财政归口科室</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农业农村科</w:t>
            </w:r>
          </w:p>
        </w:tc>
        <w:tc>
          <w:tcPr>
            <w:tcW w:w="1236"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联系人</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余来兵</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联系电话</w:t>
            </w:r>
          </w:p>
        </w:tc>
        <w:tc>
          <w:tcPr>
            <w:tcW w:w="217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default" w:ascii="Times New Roman" w:hAnsi="Times New Roman" w:eastAsia="方正仿宋_GBK" w:cs="方正仿宋_GBK"/>
                <w:color w:val="000000"/>
                <w:kern w:val="0"/>
                <w:sz w:val="24"/>
                <w:szCs w:val="24"/>
                <w:lang w:val="en-US" w:eastAsia="zh-CN"/>
              </w:rPr>
            </w:pPr>
            <w:r>
              <w:rPr>
                <w:rFonts w:hint="eastAsia" w:eastAsia="方正仿宋_GBK" w:cs="方正仿宋_GBK"/>
                <w:color w:val="000000"/>
                <w:kern w:val="0"/>
                <w:sz w:val="24"/>
                <w:szCs w:val="24"/>
                <w:lang w:val="en-US" w:eastAsia="zh-CN"/>
              </w:rPr>
              <w:t>023-</w:t>
            </w:r>
            <w:r>
              <w:rPr>
                <w:rFonts w:hint="eastAsia" w:ascii="Times New Roman" w:hAnsi="Times New Roman" w:eastAsia="方正仿宋_GBK" w:cs="方正仿宋_GBK"/>
                <w:color w:val="000000"/>
                <w:kern w:val="0"/>
                <w:sz w:val="24"/>
                <w:szCs w:val="24"/>
                <w:lang w:val="en-US" w:eastAsia="zh-CN"/>
              </w:rPr>
              <w:t>47528265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项目资金（万元）</w:t>
            </w:r>
          </w:p>
        </w:tc>
        <w:tc>
          <w:tcPr>
            <w:tcW w:w="1464" w:type="dxa"/>
            <w:gridSpan w:val="2"/>
            <w:vMerge w:val="restart"/>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年度总金额</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预算数</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全年（调整）预算数</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全年执行数</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权重</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1464" w:type="dxa"/>
            <w:gridSpan w:val="2"/>
            <w:vMerge w:val="continue"/>
            <w:tcBorders>
              <w:tl2br w:val="nil"/>
              <w:tr2bl w:val="nil"/>
            </w:tcBorders>
            <w:noWrap w:val="0"/>
            <w:vAlign w:val="center"/>
          </w:tcPr>
          <w:p>
            <w:pPr>
              <w:keepNext w:val="0"/>
              <w:keepLines w:val="0"/>
              <w:pageBreakBefore w:val="0"/>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96.6</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96.6</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96.6</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100</w:t>
            </w: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10</w:t>
            </w: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default"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146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财政拨款</w:t>
            </w:r>
          </w:p>
        </w:tc>
        <w:tc>
          <w:tcPr>
            <w:tcW w:w="1075"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leftChars="0" w:right="0" w:rightChars="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96.6</w:t>
            </w:r>
          </w:p>
        </w:tc>
        <w:tc>
          <w:tcPr>
            <w:tcW w:w="116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leftChars="0" w:right="0" w:rightChars="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96.6</w:t>
            </w:r>
          </w:p>
        </w:tc>
        <w:tc>
          <w:tcPr>
            <w:tcW w:w="2316" w:type="dxa"/>
            <w:gridSpan w:val="3"/>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leftChars="0" w:right="0" w:rightChars="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lang w:val="en-US" w:eastAsia="zh-CN"/>
              </w:rPr>
              <w:t>96.6</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p>
        </w:tc>
        <w:tc>
          <w:tcPr>
            <w:tcW w:w="93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p>
        </w:tc>
        <w:tc>
          <w:tcPr>
            <w:tcW w:w="1238"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当年绩效目标</w:t>
            </w: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年初绩效目标</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全年（调整）绩效目标</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3017" w:type="dxa"/>
            <w:gridSpan w:val="5"/>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聘请护林员，切实保护森林资源。</w:t>
            </w:r>
          </w:p>
        </w:tc>
        <w:tc>
          <w:tcPr>
            <w:tcW w:w="3000"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聘请护林员，切实保护森林资源。</w:t>
            </w:r>
          </w:p>
        </w:tc>
        <w:tc>
          <w:tcPr>
            <w:tcW w:w="3268" w:type="dxa"/>
            <w:gridSpan w:val="4"/>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完成了聘请护林员的任务，充实了国有林场森林管护队伍力量，有效提升了管护能力，切实保护了森林资源。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847" w:type="dxa"/>
            <w:vMerge w:val="restart"/>
            <w:tcBorders>
              <w:tl2br w:val="nil"/>
              <w:tr2bl w:val="nil"/>
            </w:tcBorders>
            <w:noWrap w:val="0"/>
            <w:textDirection w:val="tbRlV"/>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绩效指标</w:t>
            </w: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名称</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单位</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性质</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值</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完成值</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偏离度（%）</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系数</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权重</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rPr>
            </w:pPr>
            <w:r>
              <w:rPr>
                <w:rFonts w:hint="eastAsia" w:ascii="Times New Roman" w:hAnsi="Times New Roman" w:eastAsia="方正仿宋_GBK" w:cs="方正仿宋_GBK"/>
                <w:color w:val="000000"/>
                <w:kern w:val="0"/>
                <w:sz w:val="24"/>
                <w:szCs w:val="24"/>
              </w:rPr>
              <w:t>（分）</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jc w:val="center"/>
              <w:textAlignment w:val="auto"/>
              <w:rPr>
                <w:rFonts w:hint="eastAsia" w:ascii="Times New Roman" w:hAnsi="Times New Roman" w:eastAsia="方正仿宋_GBK" w:cs="方正仿宋_GBK"/>
                <w:color w:val="000000"/>
                <w:kern w:val="0"/>
                <w:sz w:val="24"/>
                <w:szCs w:val="24"/>
                <w:lang w:val="en-US" w:eastAsia="zh-CN"/>
              </w:rPr>
            </w:pPr>
            <w:r>
              <w:rPr>
                <w:rFonts w:hint="eastAsia" w:ascii="Times New Roman" w:hAnsi="Times New Roman" w:eastAsia="方正仿宋_GBK" w:cs="方正仿宋_GBK"/>
                <w:color w:val="000000"/>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护林人员聘请数量</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人</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19</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21</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10.53</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购买服务完成率</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提供就业岗位数量</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个</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19</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21</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10.53</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w:t>
            </w:r>
            <w:bookmarkStart w:id="0" w:name="_GoBack"/>
            <w:bookmarkEnd w:id="0"/>
            <w:r>
              <w:rPr>
                <w:rFonts w:hint="eastAsia" w:ascii="方正仿宋_GBK" w:hAnsi="方正仿宋_GBK" w:eastAsia="方正仿宋_GBK" w:cs="方正仿宋_GBK"/>
                <w:color w:val="000000"/>
                <w:kern w:val="0"/>
                <w:sz w:val="24"/>
                <w:szCs w:val="24"/>
                <w:lang w:val="en-US" w:eastAsia="zh-CN"/>
              </w:rPr>
              <w:t>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护林人员满意度</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90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90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0</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c>
          <w:tcPr>
            <w:tcW w:w="756"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护林人员年单位成本</w:t>
            </w:r>
          </w:p>
        </w:tc>
        <w:tc>
          <w:tcPr>
            <w:tcW w:w="70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元/人年</w:t>
            </w:r>
          </w:p>
        </w:tc>
        <w:tc>
          <w:tcPr>
            <w:tcW w:w="709"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sz w:val="24"/>
                <w:szCs w:val="24"/>
              </w:rPr>
              <w:t>≤</w:t>
            </w:r>
          </w:p>
        </w:tc>
        <w:tc>
          <w:tcPr>
            <w:tcW w:w="84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54000</w:t>
            </w:r>
          </w:p>
        </w:tc>
        <w:tc>
          <w:tcPr>
            <w:tcW w:w="972"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46000</w:t>
            </w:r>
          </w:p>
        </w:tc>
        <w:tc>
          <w:tcPr>
            <w:tcW w:w="948"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14.81</w:t>
            </w:r>
          </w:p>
        </w:tc>
        <w:tc>
          <w:tcPr>
            <w:tcW w:w="1080"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100</w:t>
            </w:r>
          </w:p>
        </w:tc>
        <w:tc>
          <w:tcPr>
            <w:tcW w:w="10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1284" w:type="dxa"/>
            <w:gridSpan w:val="2"/>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20</w:t>
            </w:r>
          </w:p>
        </w:tc>
        <w:tc>
          <w:tcPr>
            <w:tcW w:w="892" w:type="dxa"/>
            <w:tcBorders>
              <w:tl2br w:val="nil"/>
              <w:tr2bl w:val="nil"/>
            </w:tcBorders>
            <w:noWrap w:val="0"/>
            <w:vAlign w:val="center"/>
          </w:tcPr>
          <w:p>
            <w:pPr>
              <w:keepNext w:val="0"/>
              <w:keepLines w:val="0"/>
              <w:pageBreakBefore w:val="0"/>
              <w:widowControl/>
              <w:kinsoku/>
              <w:wordWrap/>
              <w:overflowPunct/>
              <w:topLinePunct w:val="0"/>
              <w:autoSpaceDN/>
              <w:bidi w:val="0"/>
              <w:snapToGrid/>
              <w:spacing w:line="579" w:lineRule="exact"/>
              <w:ind w:left="0" w:right="0"/>
              <w:textAlignment w:val="auto"/>
              <w:rPr>
                <w:rFonts w:hint="eastAsia" w:ascii="Times New Roman" w:hAnsi="Times New Roman" w:eastAsia="方正仿宋_GBK" w:cs="方正仿宋_GBK"/>
                <w:color w:val="000000"/>
                <w:kern w:val="0"/>
                <w:sz w:val="24"/>
                <w:szCs w:val="24"/>
              </w:rPr>
            </w:pPr>
          </w:p>
        </w:tc>
      </w:tr>
    </w:tbl>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right="0" w:rightChars="0" w:firstLine="643" w:firstLineChars="200"/>
        <w:textAlignment w:val="auto"/>
        <w:rPr>
          <w:rFonts w:hint="eastAsia" w:ascii="Times New Roman" w:hAnsi="Times New Roman" w:eastAsia="方正仿宋_GBK" w:cs="方正仿宋_GBK"/>
          <w:b/>
          <w:bCs w:val="0"/>
          <w:kern w:val="0"/>
          <w:sz w:val="32"/>
          <w:szCs w:val="32"/>
        </w:rPr>
      </w:pPr>
      <w:r>
        <w:rPr>
          <w:rFonts w:hint="eastAsia" w:ascii="Times New Roman" w:hAnsi="Times New Roman" w:eastAsia="方正仿宋_GBK" w:cs="方正仿宋_GBK"/>
          <w:b/>
          <w:bCs w:val="0"/>
          <w:kern w:val="0"/>
          <w:sz w:val="32"/>
          <w:szCs w:val="32"/>
          <w:lang w:val="en-US" w:eastAsia="zh-CN"/>
        </w:rPr>
        <w:t>2.</w:t>
      </w:r>
      <w:r>
        <w:rPr>
          <w:rFonts w:hint="eastAsia" w:ascii="Times New Roman" w:hAnsi="Times New Roman" w:eastAsia="方正仿宋_GBK" w:cs="方正仿宋_GBK"/>
          <w:b/>
          <w:bCs w:val="0"/>
          <w:kern w:val="0"/>
          <w:sz w:val="32"/>
          <w:szCs w:val="32"/>
        </w:rPr>
        <w:t>绩效自评报告或案例</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Times New Roman" w:hAnsi="Times New Roman" w:eastAsia="方正仿宋_GBK" w:cs="方正仿宋_GBK"/>
          <w:color w:val="auto"/>
          <w:kern w:val="0"/>
          <w:sz w:val="32"/>
          <w:szCs w:val="32"/>
          <w:lang w:eastAsia="zh-CN"/>
        </w:rPr>
      </w:pPr>
      <w:r>
        <w:rPr>
          <w:rFonts w:hint="eastAsia" w:ascii="Times New Roman" w:hAnsi="Times New Roman" w:eastAsia="方正仿宋_GBK" w:cs="方正仿宋_GBK"/>
          <w:color w:val="auto"/>
          <w:kern w:val="0"/>
          <w:sz w:val="32"/>
          <w:szCs w:val="32"/>
          <w:lang w:val="en-US" w:eastAsia="zh-CN"/>
        </w:rPr>
        <w:t>本单位无此事项。</w:t>
      </w:r>
    </w:p>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right="0" w:rightChars="0" w:firstLine="643" w:firstLineChars="200"/>
        <w:textAlignment w:val="auto"/>
        <w:rPr>
          <w:rFonts w:hint="eastAsia" w:ascii="Times New Roman" w:hAnsi="Times New Roman" w:eastAsia="方正仿宋_GBK" w:cs="方正仿宋_GBK"/>
          <w:b/>
          <w:bCs/>
          <w:color w:val="000000"/>
          <w:kern w:val="0"/>
          <w:sz w:val="32"/>
          <w:szCs w:val="32"/>
        </w:rPr>
      </w:pPr>
      <w:r>
        <w:rPr>
          <w:rFonts w:hint="eastAsia" w:ascii="Times New Roman" w:hAnsi="Times New Roman" w:eastAsia="方正仿宋_GBK" w:cs="方正仿宋_GBK"/>
          <w:b/>
          <w:bCs/>
          <w:color w:val="000000"/>
          <w:kern w:val="0"/>
          <w:sz w:val="32"/>
          <w:szCs w:val="32"/>
          <w:lang w:val="en-US" w:eastAsia="zh-CN"/>
        </w:rPr>
        <w:t>3.</w:t>
      </w:r>
      <w:r>
        <w:rPr>
          <w:rFonts w:hint="eastAsia" w:ascii="Times New Roman" w:hAnsi="Times New Roman" w:eastAsia="方正仿宋_GBK" w:cs="方正仿宋_GBK"/>
          <w:b/>
          <w:bCs/>
          <w:color w:val="000000"/>
          <w:kern w:val="0"/>
          <w:sz w:val="32"/>
          <w:szCs w:val="32"/>
        </w:rPr>
        <w:t>关于绩效自评结果的说明</w:t>
      </w:r>
    </w:p>
    <w:p>
      <w:pPr>
        <w:pStyle w:val="9"/>
        <w:keepNext w:val="0"/>
        <w:keepLines w:val="0"/>
        <w:pageBreakBefore w:val="0"/>
        <w:tabs>
          <w:tab w:val="center" w:pos="4153"/>
          <w:tab w:val="left" w:pos="7275"/>
        </w:tabs>
        <w:kinsoku/>
        <w:wordWrap/>
        <w:overflowPunct/>
        <w:topLinePunct w:val="0"/>
        <w:autoSpaceDN/>
        <w:bidi w:val="0"/>
        <w:snapToGrid/>
        <w:spacing w:beforeAutospacing="0" w:afterAutospacing="0" w:line="579" w:lineRule="exact"/>
        <w:ind w:left="0" w:right="0" w:firstLine="64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lang w:val="en-US" w:eastAsia="zh-CN"/>
        </w:rPr>
        <w:t>本单位2024</w:t>
      </w:r>
      <w:r>
        <w:rPr>
          <w:rFonts w:hint="eastAsia" w:ascii="Times New Roman" w:hAnsi="Times New Roman" w:eastAsia="方正仿宋_GBK" w:cs="方正仿宋_GBK"/>
          <w:kern w:val="0"/>
          <w:sz w:val="32"/>
          <w:szCs w:val="32"/>
        </w:rPr>
        <w:t>年度绩效目标</w:t>
      </w:r>
      <w:r>
        <w:rPr>
          <w:rFonts w:hint="eastAsia" w:ascii="Times New Roman" w:hAnsi="Times New Roman" w:eastAsia="方正仿宋_GBK" w:cs="方正仿宋_GBK"/>
          <w:kern w:val="0"/>
          <w:sz w:val="32"/>
          <w:szCs w:val="32"/>
          <w:lang w:eastAsia="zh-CN"/>
        </w:rPr>
        <w:t>已完成</w:t>
      </w:r>
      <w:r>
        <w:rPr>
          <w:rFonts w:hint="eastAsia" w:ascii="Times New Roman" w:hAnsi="Times New Roman" w:eastAsia="方正仿宋_GBK" w:cs="方正仿宋_GBK"/>
          <w:kern w:val="0"/>
          <w:sz w:val="32"/>
          <w:szCs w:val="32"/>
        </w:rPr>
        <w:t>。</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outlineLvl w:val="1"/>
        <w:rPr>
          <w:rFonts w:hint="eastAsia" w:ascii="Times New Roman" w:hAnsi="Times New Roman" w:eastAsia="方正楷体_GBK" w:cs="方正楷体_GBK"/>
          <w:color w:val="333333"/>
          <w:sz w:val="32"/>
          <w:szCs w:val="32"/>
        </w:rPr>
      </w:pPr>
      <w:r>
        <w:rPr>
          <w:rFonts w:hint="eastAsia" w:ascii="Times New Roman" w:hAnsi="Times New Roman" w:eastAsia="方正楷体_GBK" w:cs="方正楷体_GBK"/>
          <w:color w:val="333333"/>
          <w:sz w:val="32"/>
          <w:szCs w:val="32"/>
        </w:rPr>
        <w:t>（三）重点绩效评价结果</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Times New Roman" w:hAnsi="Times New Roman" w:eastAsia="方正仿宋_GBK" w:cs="方正仿宋_GBK"/>
          <w:kern w:val="0"/>
          <w:sz w:val="32"/>
          <w:szCs w:val="32"/>
          <w:lang w:eastAsia="zh-CN"/>
        </w:rPr>
      </w:pPr>
      <w:r>
        <w:rPr>
          <w:rFonts w:hint="eastAsia" w:ascii="Times New Roman" w:hAnsi="Times New Roman" w:eastAsia="方正仿宋_GBK" w:cs="方正仿宋_GBK"/>
          <w:kern w:val="0"/>
          <w:sz w:val="32"/>
          <w:szCs w:val="32"/>
          <w:lang w:val="en-US" w:eastAsia="zh-CN"/>
        </w:rPr>
        <w:t>本单位无此事项。</w:t>
      </w:r>
    </w:p>
    <w:p>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right="0" w:rightChars="0" w:firstLine="640" w:firstLineChars="20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六、</w:t>
      </w:r>
      <w:r>
        <w:rPr>
          <w:rFonts w:hint="eastAsia" w:ascii="Times New Roman" w:hAnsi="Times New Roman" w:eastAsia="方正黑体_GBK" w:cs="方正黑体_GBK"/>
          <w:sz w:val="32"/>
          <w:szCs w:val="32"/>
        </w:rPr>
        <w:t>专业名词解释</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五</w:t>
      </w:r>
      <w:r>
        <w:rPr>
          <w:rFonts w:hint="eastAsia" w:ascii="Times New Roman" w:hAnsi="Times New Roman" w:eastAsia="方正仿宋_GBK" w:cs="方正仿宋_GBK"/>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六</w:t>
      </w:r>
      <w:r>
        <w:rPr>
          <w:rFonts w:hint="eastAsia" w:ascii="Times New Roman" w:hAnsi="Times New Roman" w:eastAsia="方正仿宋_GBK" w:cs="方正仿宋_GBK"/>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七</w:t>
      </w:r>
      <w:r>
        <w:rPr>
          <w:rFonts w:hint="eastAsia" w:ascii="Times New Roman" w:hAnsi="Times New Roman" w:eastAsia="方正仿宋_GBK" w:cs="方正仿宋_GBK"/>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八</w:t>
      </w:r>
      <w:r>
        <w:rPr>
          <w:rFonts w:hint="eastAsia" w:ascii="Times New Roman" w:hAnsi="Times New Roman"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九</w:t>
      </w:r>
      <w:r>
        <w:rPr>
          <w:rFonts w:hint="eastAsia" w:ascii="Times New Roman" w:hAnsi="Times New Roman" w:eastAsia="方正仿宋_GBK" w:cs="方正仿宋_GBK"/>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一</w:t>
      </w:r>
      <w:r>
        <w:rPr>
          <w:rFonts w:hint="eastAsia" w:ascii="Times New Roman" w:hAnsi="Times New Roman"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三</w:t>
      </w:r>
      <w:r>
        <w:rPr>
          <w:rFonts w:hint="eastAsia" w:ascii="Times New Roman" w:hAnsi="Times New Roman" w:eastAsia="方正仿宋_GBK" w:cs="方正仿宋_GBK"/>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四</w:t>
      </w:r>
      <w:r>
        <w:rPr>
          <w:rFonts w:hint="eastAsia" w:ascii="Times New Roman" w:hAnsi="Times New Roman" w:eastAsia="方正仿宋_GBK" w:cs="方正仿宋_GBK"/>
          <w:sz w:val="32"/>
          <w:szCs w:val="32"/>
        </w:rPr>
        <w:t>）对个人和家庭的补助（支出经济分类科目类级）：反映用于对个人和家庭的补助支出。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w:t>
      </w:r>
      <w:r>
        <w:rPr>
          <w:rFonts w:hint="eastAsia" w:ascii="Times New Roman" w:hAnsi="Times New Roman" w:eastAsia="方正仿宋_GBK" w:cs="方正仿宋_GBK"/>
          <w:sz w:val="32"/>
          <w:szCs w:val="32"/>
          <w:lang w:val="en-US" w:eastAsia="zh-CN"/>
        </w:rPr>
        <w:t>五</w:t>
      </w:r>
      <w:r>
        <w:rPr>
          <w:rFonts w:hint="eastAsia" w:ascii="Times New Roman" w:hAnsi="Times New Roman"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left="0" w:right="0" w:firstLine="640"/>
        <w:textAlignment w:val="auto"/>
        <w:outlineLvl w:val="0"/>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七、决算公开联系方式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本单位决算公开信息反馈和联系方式：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lang w:val="en-US" w:eastAsia="zh-CN"/>
        </w:rPr>
        <w:t>联系人：唐小波</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联系电话：</w:t>
      </w:r>
      <w:r>
        <w:rPr>
          <w:rFonts w:hint="eastAsia" w:eastAsia="方正仿宋_GBK" w:cs="方正仿宋_GBK"/>
          <w:sz w:val="32"/>
          <w:szCs w:val="32"/>
          <w:lang w:val="en-US" w:eastAsia="zh-CN"/>
        </w:rPr>
        <w:t>023-</w:t>
      </w:r>
      <w:r>
        <w:rPr>
          <w:rFonts w:hint="eastAsia" w:ascii="Times New Roman" w:hAnsi="Times New Roman" w:eastAsia="方正仿宋_GBK" w:cs="方正仿宋_GBK"/>
          <w:sz w:val="32"/>
          <w:szCs w:val="32"/>
          <w:lang w:val="en-US" w:eastAsia="zh-CN"/>
        </w:rPr>
        <w:t>47528265</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21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943E86"/>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5EB211F"/>
    <w:rsid w:val="060A24AD"/>
    <w:rsid w:val="07640956"/>
    <w:rsid w:val="07A33AEF"/>
    <w:rsid w:val="07A34544"/>
    <w:rsid w:val="08190B33"/>
    <w:rsid w:val="08C10882"/>
    <w:rsid w:val="08C7668D"/>
    <w:rsid w:val="08CC205B"/>
    <w:rsid w:val="08DB1609"/>
    <w:rsid w:val="09327D67"/>
    <w:rsid w:val="097859D4"/>
    <w:rsid w:val="09823D8A"/>
    <w:rsid w:val="09C9617E"/>
    <w:rsid w:val="0A084FD0"/>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2B4B19"/>
    <w:rsid w:val="0E5158C5"/>
    <w:rsid w:val="0E8C5748"/>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B291C"/>
    <w:rsid w:val="14CF05AD"/>
    <w:rsid w:val="14CF3275"/>
    <w:rsid w:val="14E8356B"/>
    <w:rsid w:val="14EB3F48"/>
    <w:rsid w:val="14FD41CB"/>
    <w:rsid w:val="15546C2C"/>
    <w:rsid w:val="158240BB"/>
    <w:rsid w:val="160D5A33"/>
    <w:rsid w:val="164B77DE"/>
    <w:rsid w:val="164E5E0B"/>
    <w:rsid w:val="16BC042D"/>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DFD4AF4"/>
    <w:rsid w:val="1E346D31"/>
    <w:rsid w:val="1E8900BD"/>
    <w:rsid w:val="1ECB269E"/>
    <w:rsid w:val="1EE66C3C"/>
    <w:rsid w:val="1EF96BEA"/>
    <w:rsid w:val="1F116510"/>
    <w:rsid w:val="1F1C3B7B"/>
    <w:rsid w:val="200551AB"/>
    <w:rsid w:val="205932DE"/>
    <w:rsid w:val="20A03801"/>
    <w:rsid w:val="20BC5FF2"/>
    <w:rsid w:val="219D4F8D"/>
    <w:rsid w:val="222807B1"/>
    <w:rsid w:val="22435D4E"/>
    <w:rsid w:val="2245419D"/>
    <w:rsid w:val="22FE317D"/>
    <w:rsid w:val="233D6779"/>
    <w:rsid w:val="237704D4"/>
    <w:rsid w:val="23891077"/>
    <w:rsid w:val="23A1558C"/>
    <w:rsid w:val="23BE50B1"/>
    <w:rsid w:val="2422161E"/>
    <w:rsid w:val="246E6851"/>
    <w:rsid w:val="248D3DC5"/>
    <w:rsid w:val="24942E5E"/>
    <w:rsid w:val="24954F65"/>
    <w:rsid w:val="24962D0A"/>
    <w:rsid w:val="24C7511E"/>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1C507E"/>
    <w:rsid w:val="29696297"/>
    <w:rsid w:val="297011FE"/>
    <w:rsid w:val="297D298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166F42"/>
    <w:rsid w:val="3256082B"/>
    <w:rsid w:val="327D7E69"/>
    <w:rsid w:val="32826152"/>
    <w:rsid w:val="32EC51EE"/>
    <w:rsid w:val="33116010"/>
    <w:rsid w:val="331546C4"/>
    <w:rsid w:val="33656AA9"/>
    <w:rsid w:val="33782EB9"/>
    <w:rsid w:val="33A16094"/>
    <w:rsid w:val="33E6234B"/>
    <w:rsid w:val="33F80618"/>
    <w:rsid w:val="34007D5E"/>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7E443F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ED315AB"/>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2EB2A85"/>
    <w:rsid w:val="42ED6F71"/>
    <w:rsid w:val="431B6113"/>
    <w:rsid w:val="438834DF"/>
    <w:rsid w:val="43A20A3C"/>
    <w:rsid w:val="440B4462"/>
    <w:rsid w:val="444C66C3"/>
    <w:rsid w:val="44630F9F"/>
    <w:rsid w:val="446A3603"/>
    <w:rsid w:val="44BC3A73"/>
    <w:rsid w:val="45146CF0"/>
    <w:rsid w:val="45231B38"/>
    <w:rsid w:val="458B573C"/>
    <w:rsid w:val="45CE60A3"/>
    <w:rsid w:val="461C57E1"/>
    <w:rsid w:val="464D2106"/>
    <w:rsid w:val="46572A53"/>
    <w:rsid w:val="465B2718"/>
    <w:rsid w:val="46651F6D"/>
    <w:rsid w:val="46BE763A"/>
    <w:rsid w:val="46C178CC"/>
    <w:rsid w:val="46D8111F"/>
    <w:rsid w:val="46D84BFD"/>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0A2640"/>
    <w:rsid w:val="4C8B29AF"/>
    <w:rsid w:val="4CA010BB"/>
    <w:rsid w:val="4CBA3F1B"/>
    <w:rsid w:val="4CC1550E"/>
    <w:rsid w:val="4CCB5B06"/>
    <w:rsid w:val="4CF86FF4"/>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803385"/>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53275B"/>
    <w:rsid w:val="55631682"/>
    <w:rsid w:val="55913DE9"/>
    <w:rsid w:val="55B36956"/>
    <w:rsid w:val="55BC0A87"/>
    <w:rsid w:val="55C44EE3"/>
    <w:rsid w:val="55CD6DBF"/>
    <w:rsid w:val="55D409AB"/>
    <w:rsid w:val="560E70A6"/>
    <w:rsid w:val="564C33E3"/>
    <w:rsid w:val="565A5E3A"/>
    <w:rsid w:val="56AA311A"/>
    <w:rsid w:val="56AA74B2"/>
    <w:rsid w:val="56B357D4"/>
    <w:rsid w:val="576B630C"/>
    <w:rsid w:val="57906076"/>
    <w:rsid w:val="57F77E8D"/>
    <w:rsid w:val="584101D8"/>
    <w:rsid w:val="584366A5"/>
    <w:rsid w:val="58464AEC"/>
    <w:rsid w:val="587157DF"/>
    <w:rsid w:val="58C32F70"/>
    <w:rsid w:val="58D37D03"/>
    <w:rsid w:val="58F80B81"/>
    <w:rsid w:val="59171D29"/>
    <w:rsid w:val="594B64BC"/>
    <w:rsid w:val="59C1394B"/>
    <w:rsid w:val="59E4333B"/>
    <w:rsid w:val="5A327175"/>
    <w:rsid w:val="5A373F74"/>
    <w:rsid w:val="5A461F67"/>
    <w:rsid w:val="5A4D12DB"/>
    <w:rsid w:val="5AA95942"/>
    <w:rsid w:val="5B016997"/>
    <w:rsid w:val="5B9A1A90"/>
    <w:rsid w:val="5BEA616D"/>
    <w:rsid w:val="5C620610"/>
    <w:rsid w:val="5C7C27CC"/>
    <w:rsid w:val="5C8E6646"/>
    <w:rsid w:val="5CA1473C"/>
    <w:rsid w:val="5D743AF2"/>
    <w:rsid w:val="5D784DB7"/>
    <w:rsid w:val="5D804113"/>
    <w:rsid w:val="5D86298B"/>
    <w:rsid w:val="5DB16793"/>
    <w:rsid w:val="5DC71899"/>
    <w:rsid w:val="5DF574B1"/>
    <w:rsid w:val="5E01598A"/>
    <w:rsid w:val="5E0518AE"/>
    <w:rsid w:val="5E7319C7"/>
    <w:rsid w:val="5E79F978"/>
    <w:rsid w:val="5E8272F2"/>
    <w:rsid w:val="5F3F14B1"/>
    <w:rsid w:val="5F4A1944"/>
    <w:rsid w:val="5F736A1C"/>
    <w:rsid w:val="5F7C1524"/>
    <w:rsid w:val="61431576"/>
    <w:rsid w:val="61B07674"/>
    <w:rsid w:val="61D16983"/>
    <w:rsid w:val="62240C00"/>
    <w:rsid w:val="62EB3735"/>
    <w:rsid w:val="63B16DA6"/>
    <w:rsid w:val="64325BAA"/>
    <w:rsid w:val="6474563E"/>
    <w:rsid w:val="64DD2E2F"/>
    <w:rsid w:val="650C79CC"/>
    <w:rsid w:val="651F0B40"/>
    <w:rsid w:val="654A3BA1"/>
    <w:rsid w:val="65720792"/>
    <w:rsid w:val="65727ED4"/>
    <w:rsid w:val="658D11B9"/>
    <w:rsid w:val="65A15618"/>
    <w:rsid w:val="660467A7"/>
    <w:rsid w:val="663A44F0"/>
    <w:rsid w:val="66471D7C"/>
    <w:rsid w:val="667D6EFB"/>
    <w:rsid w:val="66FD7813"/>
    <w:rsid w:val="67565BD1"/>
    <w:rsid w:val="67825ED9"/>
    <w:rsid w:val="67A0385B"/>
    <w:rsid w:val="67B37940"/>
    <w:rsid w:val="686C2A53"/>
    <w:rsid w:val="689C4BB9"/>
    <w:rsid w:val="68A245E2"/>
    <w:rsid w:val="68B0544A"/>
    <w:rsid w:val="690F3CAF"/>
    <w:rsid w:val="6A0C28CE"/>
    <w:rsid w:val="6A650A4D"/>
    <w:rsid w:val="6B7060C6"/>
    <w:rsid w:val="6C60029B"/>
    <w:rsid w:val="6C6E1DC6"/>
    <w:rsid w:val="6C927168"/>
    <w:rsid w:val="6CE26A10"/>
    <w:rsid w:val="6D8C5247"/>
    <w:rsid w:val="6D9D60FA"/>
    <w:rsid w:val="6E28734E"/>
    <w:rsid w:val="6E2A47A0"/>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9A1651"/>
    <w:rsid w:val="7BB813CF"/>
    <w:rsid w:val="7BFB159A"/>
    <w:rsid w:val="7C240326"/>
    <w:rsid w:val="7C5365EF"/>
    <w:rsid w:val="7C5F4A2B"/>
    <w:rsid w:val="7C6E6F9B"/>
    <w:rsid w:val="7C724B1A"/>
    <w:rsid w:val="7DDB79A8"/>
    <w:rsid w:val="7DE6477E"/>
    <w:rsid w:val="7E17286F"/>
    <w:rsid w:val="7E265B35"/>
    <w:rsid w:val="7E395726"/>
    <w:rsid w:val="7E4A583D"/>
    <w:rsid w:val="7E54076D"/>
    <w:rsid w:val="7E836D97"/>
    <w:rsid w:val="7E8E73EF"/>
    <w:rsid w:val="7EF23A7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1882</Words>
  <Characters>1942</Characters>
  <Lines>16</Lines>
  <Paragraphs>4</Paragraphs>
  <TotalTime>2</TotalTime>
  <ScaleCrop>false</ScaleCrop>
  <LinksUpToDate>false</LinksUpToDate>
  <CharactersWithSpaces>1947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2021-07-06T22:32:00Z</dcterms:created>
  <dc:creator>微软用户</dc:creator>
  <cp:lastModifiedBy>uos</cp:lastModifiedBy>
  <cp:lastPrinted>2023-08-10T17:16:00Z</cp:lastPrinted>
  <dcterms:modified xsi:type="dcterms:W3CDTF">2025-08-21T14:35:14Z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C5C051BE58ED47B681D748640379E264</vt:lpwstr>
  </property>
</Properties>
</file>