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snapToGrid/>
        <w:spacing w:line="579" w:lineRule="exact"/>
        <w:ind w:left="0" w:right="0"/>
        <w:jc w:val="center"/>
        <w:textAlignment w:val="auto"/>
        <w:rPr>
          <w:rFonts w:hint="eastAsia" w:ascii="宋体" w:hAnsi="宋体" w:eastAsia="方正小标宋_GBK" w:cs="方正小标宋_GBK"/>
          <w:sz w:val="44"/>
          <w:szCs w:val="44"/>
          <w:lang w:val="en-US" w:eastAsia="zh-CN"/>
        </w:rPr>
      </w:pPr>
      <w:r>
        <w:rPr>
          <w:rFonts w:hint="eastAsia" w:ascii="宋体" w:hAnsi="宋体" w:eastAsia="方正小标宋_GBK" w:cs="方正小标宋_GBK"/>
          <w:sz w:val="44"/>
          <w:szCs w:val="44"/>
          <w:lang w:val="en-US" w:eastAsia="zh-CN"/>
        </w:rPr>
        <w:t>重庆市江津区大圆洞林场</w:t>
      </w:r>
    </w:p>
    <w:p>
      <w:pPr>
        <w:keepNext w:val="0"/>
        <w:keepLines w:val="0"/>
        <w:pageBreakBefore w:val="0"/>
        <w:kinsoku/>
        <w:wordWrap/>
        <w:overflowPunct/>
        <w:topLinePunct w:val="0"/>
        <w:autoSpaceDN/>
        <w:bidi w:val="0"/>
        <w:snapToGrid/>
        <w:spacing w:line="579" w:lineRule="exact"/>
        <w:ind w:left="0" w:right="0"/>
        <w:jc w:val="center"/>
        <w:textAlignment w:val="auto"/>
        <w:rPr>
          <w:rFonts w:hint="eastAsia" w:ascii="宋体" w:hAnsi="宋体" w:eastAsia="方正小标宋_GBK" w:cs="方正小标宋_GBK"/>
          <w:sz w:val="44"/>
          <w:szCs w:val="44"/>
        </w:rPr>
      </w:pPr>
      <w:r>
        <w:rPr>
          <w:rFonts w:hint="eastAsia" w:ascii="宋体" w:hAnsi="宋体" w:eastAsia="方正小标宋_GBK" w:cs="方正小标宋_GBK"/>
          <w:sz w:val="44"/>
          <w:szCs w:val="44"/>
        </w:rPr>
        <w:t>202</w:t>
      </w:r>
      <w:r>
        <w:rPr>
          <w:rFonts w:hint="eastAsia" w:ascii="宋体" w:hAnsi="宋体" w:eastAsia="方正小标宋_GBK" w:cs="方正小标宋_GBK"/>
          <w:sz w:val="44"/>
          <w:szCs w:val="44"/>
          <w:lang w:val="en-US" w:eastAsia="zh-CN"/>
        </w:rPr>
        <w:t>4年度决算公开</w:t>
      </w:r>
      <w:r>
        <w:rPr>
          <w:rFonts w:hint="eastAsia" w:ascii="宋体" w:hAnsi="宋体" w:eastAsia="方正小标宋_GBK" w:cs="方正小标宋_GBK"/>
          <w:sz w:val="44"/>
          <w:szCs w:val="44"/>
        </w:rPr>
        <w:t>说明</w:t>
      </w:r>
    </w:p>
    <w:p>
      <w:pPr>
        <w:keepNext w:val="0"/>
        <w:keepLines w:val="0"/>
        <w:pageBreakBefore w:val="0"/>
        <w:kinsoku/>
        <w:wordWrap/>
        <w:overflowPunct/>
        <w:topLinePunct w:val="0"/>
        <w:autoSpaceDN/>
        <w:bidi w:val="0"/>
        <w:snapToGrid/>
        <w:spacing w:line="579" w:lineRule="exact"/>
        <w:ind w:left="0" w:right="0" w:firstLine="1100" w:firstLineChars="250"/>
        <w:textAlignment w:val="auto"/>
        <w:rPr>
          <w:rFonts w:hint="eastAsia" w:ascii="宋体" w:hAnsi="宋体" w:eastAsia="方正仿宋_GBK" w:cs="方正仿宋_GBK"/>
          <w:sz w:val="44"/>
          <w:szCs w:val="44"/>
        </w:rPr>
      </w:pP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left="0" w:right="0"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一、单位基本情况</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outlineLvl w:val="1"/>
        <w:rPr>
          <w:rFonts w:hint="eastAsia" w:ascii="宋体" w:hAnsi="宋体" w:eastAsia="方正楷体_GBK" w:cs="方正楷体_GBK"/>
          <w:kern w:val="0"/>
          <w:sz w:val="32"/>
          <w:szCs w:val="32"/>
          <w:lang w:val="en-US" w:eastAsia="zh-CN"/>
        </w:rPr>
      </w:pPr>
      <w:r>
        <w:rPr>
          <w:rFonts w:hint="eastAsia" w:ascii="宋体" w:hAnsi="宋体" w:eastAsia="方正楷体_GBK" w:cs="方正楷体_GBK"/>
          <w:kern w:val="0"/>
          <w:sz w:val="32"/>
          <w:szCs w:val="32"/>
          <w:lang w:eastAsia="zh-CN"/>
        </w:rPr>
        <w:t>（</w:t>
      </w:r>
      <w:r>
        <w:rPr>
          <w:rFonts w:hint="eastAsia" w:ascii="宋体" w:hAnsi="宋体" w:eastAsia="方正楷体_GBK" w:cs="方正楷体_GBK"/>
          <w:kern w:val="0"/>
          <w:sz w:val="32"/>
          <w:szCs w:val="32"/>
          <w:lang w:val="en-US" w:eastAsia="zh-CN"/>
        </w:rPr>
        <w:t>一</w:t>
      </w:r>
      <w:r>
        <w:rPr>
          <w:rFonts w:hint="eastAsia" w:ascii="宋体" w:hAnsi="宋体" w:eastAsia="方正楷体_GBK" w:cs="方正楷体_GBK"/>
          <w:kern w:val="0"/>
          <w:sz w:val="32"/>
          <w:szCs w:val="32"/>
          <w:lang w:eastAsia="zh-CN"/>
        </w:rPr>
        <w:t>）</w:t>
      </w:r>
      <w:r>
        <w:rPr>
          <w:rFonts w:hint="eastAsia" w:ascii="宋体" w:hAnsi="宋体" w:eastAsia="方正楷体_GBK" w:cs="方正楷体_GBK"/>
          <w:kern w:val="0"/>
          <w:sz w:val="32"/>
          <w:szCs w:val="32"/>
          <w:lang w:val="en-US" w:eastAsia="zh-CN"/>
        </w:rPr>
        <w:t>职能职责</w:t>
      </w:r>
    </w:p>
    <w:p>
      <w:pPr>
        <w:keepNext w:val="0"/>
        <w:keepLines w:val="0"/>
        <w:pageBreakBefore w:val="0"/>
        <w:widowControl w:val="0"/>
        <w:kinsoku/>
        <w:wordWrap/>
        <w:overflowPunct/>
        <w:topLinePunct w:val="0"/>
        <w:autoSpaceDE/>
        <w:autoSpaceDN/>
        <w:adjustRightInd w:val="0"/>
        <w:snapToGrid w:val="0"/>
        <w:spacing w:line="579" w:lineRule="exact"/>
        <w:ind w:left="0" w:firstLine="640" w:firstLineChars="200"/>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rPr>
        <w:t>宣传贯彻有关森林生态环境建设、森林防火、林区安全、森林资源保护和国土绿化等方针政策和法律法规。</w:t>
      </w:r>
    </w:p>
    <w:p>
      <w:pPr>
        <w:keepNext w:val="0"/>
        <w:keepLines w:val="0"/>
        <w:pageBreakBefore w:val="0"/>
        <w:widowControl w:val="0"/>
        <w:kinsoku/>
        <w:wordWrap/>
        <w:overflowPunct/>
        <w:topLinePunct w:val="0"/>
        <w:autoSpaceDE/>
        <w:autoSpaceDN/>
        <w:adjustRightInd w:val="0"/>
        <w:snapToGrid w:val="0"/>
        <w:spacing w:line="579" w:lineRule="exact"/>
        <w:ind w:left="0" w:firstLine="640" w:firstLineChars="200"/>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rPr>
        <w:t>依法负责管理区域内的森林、湿地、自然保护区和野生动植物资源的保护管理及森林防火、有害生物防治等保护和培育森林资源生态公益服务工作。</w:t>
      </w:r>
    </w:p>
    <w:p>
      <w:pPr>
        <w:snapToGrid/>
        <w:spacing w:line="579"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rPr>
        <w:t>开展林业科学试验和技术创新，推广先进技术。</w:t>
      </w:r>
    </w:p>
    <w:p>
      <w:pPr>
        <w:snapToGrid/>
        <w:spacing w:line="579"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负责管理区域内的森林资源的开发利用。</w:t>
      </w:r>
    </w:p>
    <w:p>
      <w:pPr>
        <w:snapToGrid/>
        <w:spacing w:line="579"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承办行政主管部门交办的其他任务。</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right="0" w:firstLine="640" w:firstLineChars="200"/>
        <w:textAlignment w:val="auto"/>
        <w:outlineLvl w:val="1"/>
        <w:rPr>
          <w:rFonts w:hint="eastAsia" w:ascii="宋体" w:hAnsi="宋体" w:eastAsia="方正楷体_GBK" w:cs="方正楷体_GBK"/>
          <w:kern w:val="0"/>
          <w:sz w:val="32"/>
          <w:szCs w:val="32"/>
          <w:lang w:eastAsia="zh-CN"/>
        </w:rPr>
      </w:pPr>
      <w:r>
        <w:rPr>
          <w:rFonts w:hint="eastAsia" w:ascii="宋体" w:hAnsi="宋体" w:eastAsia="方正楷体_GBK" w:cs="方正楷体_GBK"/>
          <w:kern w:val="0"/>
          <w:sz w:val="32"/>
          <w:szCs w:val="32"/>
          <w:lang w:val="en-US" w:eastAsia="zh-CN"/>
        </w:rPr>
        <w:t>（二）机构设置</w:t>
      </w:r>
    </w:p>
    <w:p>
      <w:pPr>
        <w:keepNext w:val="0"/>
        <w:keepLines w:val="0"/>
        <w:pageBreakBefore w:val="0"/>
        <w:numPr>
          <w:ilvl w:val="0"/>
          <w:numId w:val="0"/>
        </w:numPr>
        <w:kinsoku/>
        <w:wordWrap/>
        <w:overflowPunct/>
        <w:topLinePunct w:val="0"/>
        <w:autoSpaceDN/>
        <w:bidi w:val="0"/>
        <w:snapToGrid/>
        <w:spacing w:line="579" w:lineRule="exact"/>
        <w:ind w:left="0" w:right="0" w:firstLine="640" w:firstLineChars="200"/>
        <w:textAlignment w:val="auto"/>
        <w:rPr>
          <w:rFonts w:hint="eastAsia" w:ascii="宋体" w:hAnsi="宋体" w:eastAsia="方正仿宋_GBK" w:cs="方正仿宋_GBK"/>
          <w:kern w:val="0"/>
          <w:sz w:val="32"/>
          <w:szCs w:val="32"/>
          <w:lang w:eastAsia="zh-CN"/>
        </w:rPr>
      </w:pPr>
      <w:r>
        <w:rPr>
          <w:rFonts w:hint="eastAsia" w:ascii="方正仿宋_GBK" w:hAnsi="方正仿宋_GBK" w:eastAsia="方正仿宋_GBK" w:cs="方正仿宋_GBK"/>
          <w:sz w:val="32"/>
        </w:rPr>
        <w:t>重庆市江津区大圆洞林场属</w:t>
      </w:r>
      <w:r>
        <w:rPr>
          <w:rFonts w:hint="eastAsia" w:ascii="Times New Roman" w:hAnsi="Times New Roman" w:eastAsia="方正仿宋_GBK" w:cs="方正黑体_GBK"/>
          <w:kern w:val="1"/>
          <w:sz w:val="32"/>
          <w:szCs w:val="32"/>
        </w:rPr>
        <w:t>区林业局直属正科级全额拨款事业单位</w:t>
      </w:r>
      <w:r>
        <w:rPr>
          <w:rFonts w:hint="eastAsia" w:ascii="Times New Roman" w:hAnsi="Times New Roman" w:eastAsia="方正仿宋_GBK" w:cs="方正黑体_GBK"/>
          <w:kern w:val="1"/>
          <w:sz w:val="32"/>
          <w:szCs w:val="32"/>
          <w:lang w:eastAsia="zh-CN"/>
        </w:rPr>
        <w:t>。下设有</w:t>
      </w:r>
      <w:r>
        <w:rPr>
          <w:rFonts w:hint="eastAsia" w:ascii="Times New Roman" w:hAnsi="Times New Roman" w:eastAsia="方正仿宋_GBK" w:cs="方正黑体_GBK"/>
          <w:kern w:val="1"/>
          <w:sz w:val="32"/>
          <w:szCs w:val="32"/>
          <w:lang w:val="en-US" w:eastAsia="zh-CN"/>
        </w:rPr>
        <w:t>4个办公室、4个管护站、21个管</w:t>
      </w:r>
      <w:r>
        <w:rPr>
          <w:rFonts w:hint="eastAsia" w:ascii="方正仿宋_GBK" w:hAnsi="方正仿宋_GBK" w:eastAsia="方正仿宋_GBK" w:cs="方正仿宋_GBK"/>
          <w:sz w:val="32"/>
          <w:lang w:val="en-US" w:eastAsia="zh-CN"/>
        </w:rPr>
        <w:t>护点，</w:t>
      </w:r>
      <w:r>
        <w:rPr>
          <w:rFonts w:hint="eastAsia" w:ascii="Times New Roman" w:hAnsi="Times New Roman" w:eastAsia="方正仿宋_GBK" w:cs="方正黑体_GBK"/>
          <w:kern w:val="1"/>
          <w:sz w:val="32"/>
          <w:szCs w:val="32"/>
        </w:rPr>
        <w:t>经营、管理面积5.2</w:t>
      </w:r>
      <w:r>
        <w:rPr>
          <w:rFonts w:hint="eastAsia" w:ascii="Times New Roman" w:hAnsi="Times New Roman" w:eastAsia="方正仿宋_GBK" w:cs="方正黑体_GBK"/>
          <w:kern w:val="1"/>
          <w:sz w:val="32"/>
          <w:szCs w:val="32"/>
          <w:lang w:val="en-US" w:eastAsia="zh-CN"/>
        </w:rPr>
        <w:t>6</w:t>
      </w:r>
      <w:r>
        <w:rPr>
          <w:rFonts w:hint="eastAsia" w:ascii="Times New Roman" w:hAnsi="Times New Roman" w:eastAsia="方正仿宋_GBK" w:cs="方正黑体_GBK"/>
          <w:kern w:val="1"/>
          <w:sz w:val="32"/>
          <w:szCs w:val="32"/>
        </w:rPr>
        <w:t>万亩</w:t>
      </w:r>
      <w:r>
        <w:rPr>
          <w:rFonts w:hint="eastAsia" w:ascii="Times New Roman" w:hAnsi="Times New Roman" w:eastAsia="方正仿宋_GBK" w:cs="方正黑体_GBK"/>
          <w:kern w:val="1"/>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right="0" w:firstLine="640" w:firstLineChars="20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lang w:eastAsia="zh-CN"/>
        </w:rPr>
        <w:t>二、单位</w:t>
      </w:r>
      <w:r>
        <w:rPr>
          <w:rFonts w:hint="eastAsia" w:ascii="宋体" w:hAnsi="宋体" w:eastAsia="方正黑体_GBK" w:cs="方正黑体_GBK"/>
          <w:sz w:val="32"/>
          <w:szCs w:val="32"/>
        </w:rPr>
        <w:t>决算情况</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right="0"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（一）单位收支总体情况</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right="0" w:firstLine="643"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1.收入支出总体情况。</w:t>
      </w:r>
      <w:r>
        <w:rPr>
          <w:rFonts w:hint="eastAsia" w:ascii="宋体" w:hAnsi="宋体" w:eastAsia="方正仿宋_GBK" w:cs="方正仿宋_GBK"/>
          <w:b w:val="0"/>
          <w:bCs w:val="0"/>
          <w:sz w:val="32"/>
          <w:szCs w:val="32"/>
          <w:lang w:val="en-US" w:eastAsia="zh-CN"/>
        </w:rPr>
        <w:t>2024年度收入总计1498.35万元，支出总计1498.35万元。收支较上年</w:t>
      </w:r>
      <w:r>
        <w:rPr>
          <w:rFonts w:ascii="方正仿宋_GBK" w:hAnsi="方正仿宋_GBK" w:eastAsia="方正仿宋_GBK" w:cs="方正仿宋_GBK"/>
          <w:sz w:val="32"/>
          <w:szCs w:val="32"/>
          <w:shd w:val="clear" w:color="auto" w:fill="FFFFFF"/>
        </w:rPr>
        <w:t>增加136.3万元，增长10.01%</w:t>
      </w:r>
      <w:r>
        <w:rPr>
          <w:rFonts w:hint="eastAsia" w:ascii="宋体" w:hAnsi="宋体" w:eastAsia="方正仿宋_GBK" w:cs="方正仿宋_GBK"/>
          <w:b w:val="0"/>
          <w:bCs w:val="0"/>
          <w:sz w:val="32"/>
          <w:szCs w:val="32"/>
          <w:lang w:val="en-US" w:eastAsia="zh-CN"/>
        </w:rPr>
        <w:t>，主要原因为森林管护项目资金收支增加。</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right="0" w:firstLine="643"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2.收入情况。</w:t>
      </w:r>
      <w:r>
        <w:rPr>
          <w:rFonts w:hint="eastAsia" w:ascii="宋体" w:hAnsi="宋体" w:eastAsia="方正仿宋_GBK" w:cs="方正仿宋_GBK"/>
          <w:b w:val="0"/>
          <w:bCs w:val="0"/>
          <w:sz w:val="32"/>
          <w:szCs w:val="32"/>
          <w:lang w:val="en-US" w:eastAsia="zh-CN"/>
        </w:rPr>
        <w:t>2024年度本年收入合计1498.35万元，较上年</w:t>
      </w:r>
      <w:r>
        <w:rPr>
          <w:rFonts w:ascii="方正仿宋_GBK" w:hAnsi="方正仿宋_GBK" w:eastAsia="方正仿宋_GBK" w:cs="方正仿宋_GBK"/>
          <w:sz w:val="32"/>
          <w:szCs w:val="32"/>
          <w:shd w:val="clear" w:color="auto" w:fill="FFFFFF"/>
        </w:rPr>
        <w:t>增加136.3万元，增长10.01</w:t>
      </w:r>
      <w:r>
        <w:rPr>
          <w:rFonts w:hint="eastAsia" w:ascii="方正仿宋_GBK" w:hAnsi="方正仿宋_GBK" w:eastAsia="方正仿宋_GBK" w:cs="方正仿宋_GBK"/>
          <w:sz w:val="32"/>
          <w:szCs w:val="32"/>
          <w:shd w:val="clear" w:color="auto" w:fill="FFFFFF"/>
          <w:lang w:val="en-US" w:eastAsia="zh-CN"/>
        </w:rPr>
        <w:t>%</w:t>
      </w:r>
      <w:r>
        <w:rPr>
          <w:rFonts w:hint="eastAsia" w:ascii="宋体" w:hAnsi="宋体" w:eastAsia="方正仿宋_GBK" w:cs="方正仿宋_GBK"/>
          <w:b w:val="0"/>
          <w:bCs w:val="0"/>
          <w:sz w:val="32"/>
          <w:szCs w:val="32"/>
          <w:lang w:val="en-US" w:eastAsia="zh-CN"/>
        </w:rPr>
        <w:t>，主要原因为森林管护项目资金收支增加。其中：财政拨款收入1498.35万元，占比100%；事业收入0万元，占比0%；其他收入0万元，占比0%。</w:t>
      </w:r>
      <w:r>
        <w:rPr>
          <w:rFonts w:ascii="方正仿宋_GBK" w:hAnsi="方正仿宋_GBK" w:eastAsia="方正仿宋_GBK" w:cs="方正仿宋_GBK"/>
          <w:sz w:val="32"/>
          <w:szCs w:val="32"/>
          <w:shd w:val="clear" w:color="auto" w:fill="FFFFFF"/>
        </w:rPr>
        <w:t>此外，使用非财政拨款结余和专用结余</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万元，年初结转和结余</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right="0" w:firstLine="643"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3.支出情况。</w:t>
      </w:r>
      <w:r>
        <w:rPr>
          <w:rFonts w:hint="eastAsia" w:ascii="宋体" w:hAnsi="宋体" w:eastAsia="方正仿宋_GBK" w:cs="方正仿宋_GBK"/>
          <w:b w:val="0"/>
          <w:bCs w:val="0"/>
          <w:sz w:val="32"/>
          <w:szCs w:val="32"/>
          <w:lang w:val="en-US" w:eastAsia="zh-CN"/>
        </w:rPr>
        <w:t>2024年度本年支出合计1498.35万元，</w:t>
      </w:r>
      <w:r>
        <w:rPr>
          <w:rFonts w:hint="eastAsia" w:ascii="宋体" w:hAnsi="宋体" w:eastAsia="方正仿宋_GBK" w:cs="方正仿宋_GBK"/>
          <w:sz w:val="32"/>
        </w:rPr>
        <w:t>较</w:t>
      </w:r>
      <w:r>
        <w:rPr>
          <w:rFonts w:hint="eastAsia" w:ascii="宋体" w:hAnsi="宋体" w:eastAsia="方正仿宋_GBK" w:cs="方正仿宋_GBK"/>
          <w:sz w:val="32"/>
          <w:lang w:val="en-US" w:eastAsia="zh-CN"/>
        </w:rPr>
        <w:t>上年</w:t>
      </w:r>
      <w:r>
        <w:rPr>
          <w:rFonts w:ascii="方正仿宋_GBK" w:hAnsi="方正仿宋_GBK" w:eastAsia="方正仿宋_GBK" w:cs="方正仿宋_GBK"/>
          <w:sz w:val="32"/>
          <w:szCs w:val="32"/>
          <w:shd w:val="clear" w:color="auto" w:fill="FFFFFF"/>
        </w:rPr>
        <w:t>增加136.3万元，增长10.01</w:t>
      </w:r>
      <w:r>
        <w:rPr>
          <w:rFonts w:hint="eastAsia" w:ascii="方正仿宋_GBK" w:hAnsi="方正仿宋_GBK" w:eastAsia="方正仿宋_GBK" w:cs="方正仿宋_GBK"/>
          <w:sz w:val="32"/>
          <w:szCs w:val="32"/>
          <w:shd w:val="clear" w:color="auto" w:fill="FFFFFF"/>
          <w:lang w:val="en-US" w:eastAsia="zh-CN"/>
        </w:rPr>
        <w:t>%</w:t>
      </w:r>
      <w:r>
        <w:rPr>
          <w:rFonts w:hint="eastAsia" w:ascii="宋体" w:hAnsi="宋体" w:eastAsia="方正仿宋_GBK" w:cs="方正仿宋_GBK"/>
          <w:b w:val="0"/>
          <w:bCs w:val="0"/>
          <w:sz w:val="32"/>
          <w:szCs w:val="32"/>
          <w:lang w:val="en-US" w:eastAsia="zh-CN"/>
        </w:rPr>
        <w:t>，</w:t>
      </w:r>
      <w:r>
        <w:rPr>
          <w:rFonts w:hint="eastAsia" w:ascii="宋体" w:hAnsi="宋体" w:eastAsia="方正仿宋_GBK" w:cs="方正仿宋_GBK"/>
          <w:sz w:val="32"/>
        </w:rPr>
        <w:t>主要</w:t>
      </w:r>
      <w:r>
        <w:rPr>
          <w:rFonts w:hint="eastAsia" w:ascii="宋体" w:hAnsi="宋体" w:eastAsia="方正仿宋_GBK" w:cs="方正仿宋_GBK"/>
          <w:sz w:val="32"/>
          <w:lang w:val="en-US" w:eastAsia="zh-CN"/>
        </w:rPr>
        <w:t>原因为</w:t>
      </w:r>
      <w:r>
        <w:rPr>
          <w:rFonts w:hint="eastAsia" w:ascii="宋体" w:hAnsi="宋体" w:eastAsia="方正仿宋_GBK" w:cs="方正仿宋_GBK"/>
          <w:b w:val="0"/>
          <w:bCs w:val="0"/>
          <w:sz w:val="32"/>
          <w:szCs w:val="32"/>
          <w:lang w:val="en-US" w:eastAsia="zh-CN"/>
        </w:rPr>
        <w:t>森林管护项目资金收支增加</w:t>
      </w:r>
      <w:r>
        <w:rPr>
          <w:rFonts w:hint="eastAsia" w:ascii="宋体" w:hAnsi="宋体" w:eastAsia="方正仿宋_GBK" w:cs="方正仿宋_GBK"/>
          <w:sz w:val="32"/>
          <w:lang w:val="en-US" w:eastAsia="zh-CN"/>
        </w:rPr>
        <w:t>。</w:t>
      </w:r>
      <w:r>
        <w:rPr>
          <w:rFonts w:hint="eastAsia" w:ascii="宋体" w:hAnsi="宋体" w:eastAsia="方正仿宋_GBK" w:cs="方正仿宋_GBK"/>
          <w:b w:val="0"/>
          <w:bCs w:val="0"/>
          <w:sz w:val="32"/>
          <w:szCs w:val="32"/>
          <w:lang w:val="en-US" w:eastAsia="zh-CN"/>
        </w:rPr>
        <w:t>其中：基本支出</w:t>
      </w:r>
      <w:r>
        <w:rPr>
          <w:rFonts w:ascii="方正仿宋_GBK" w:hAnsi="方正仿宋_GBK" w:eastAsia="方正仿宋_GBK" w:cs="方正仿宋_GBK"/>
          <w:sz w:val="32"/>
          <w:szCs w:val="32"/>
        </w:rPr>
        <w:t>1308.89</w:t>
      </w:r>
      <w:r>
        <w:rPr>
          <w:rFonts w:hint="eastAsia" w:ascii="宋体" w:hAnsi="宋体" w:eastAsia="方正仿宋_GBK" w:cs="方正仿宋_GBK"/>
          <w:b w:val="0"/>
          <w:bCs w:val="0"/>
          <w:sz w:val="32"/>
          <w:szCs w:val="32"/>
          <w:lang w:val="en-US" w:eastAsia="zh-CN"/>
        </w:rPr>
        <w:t>万元，占比</w:t>
      </w:r>
      <w:r>
        <w:rPr>
          <w:rFonts w:ascii="方正仿宋_GBK" w:hAnsi="方正仿宋_GBK" w:eastAsia="方正仿宋_GBK" w:cs="方正仿宋_GBK"/>
          <w:sz w:val="32"/>
          <w:szCs w:val="32"/>
          <w:shd w:val="clear" w:color="auto" w:fill="FFFFFF"/>
        </w:rPr>
        <w:t>87.36%</w:t>
      </w:r>
      <w:r>
        <w:rPr>
          <w:rFonts w:hint="eastAsia" w:ascii="宋体" w:hAnsi="宋体" w:eastAsia="方正仿宋_GBK" w:cs="方正仿宋_GBK"/>
          <w:b w:val="0"/>
          <w:bCs w:val="0"/>
          <w:sz w:val="32"/>
          <w:szCs w:val="32"/>
          <w:lang w:val="en-US" w:eastAsia="zh-CN"/>
        </w:rPr>
        <w:t>；项目支出</w:t>
      </w:r>
      <w:r>
        <w:rPr>
          <w:rFonts w:ascii="方正仿宋_GBK" w:hAnsi="方正仿宋_GBK" w:eastAsia="方正仿宋_GBK" w:cs="方正仿宋_GBK"/>
          <w:sz w:val="32"/>
          <w:szCs w:val="32"/>
        </w:rPr>
        <w:t>189.46</w:t>
      </w:r>
      <w:r>
        <w:rPr>
          <w:rFonts w:hint="eastAsia" w:ascii="宋体" w:hAnsi="宋体" w:eastAsia="方正仿宋_GBK" w:cs="方正仿宋_GBK"/>
          <w:b w:val="0"/>
          <w:bCs w:val="0"/>
          <w:sz w:val="32"/>
          <w:szCs w:val="32"/>
          <w:lang w:val="en-US" w:eastAsia="zh-CN"/>
        </w:rPr>
        <w:t>万元，占比</w:t>
      </w:r>
      <w:r>
        <w:rPr>
          <w:rFonts w:ascii="方正仿宋_GBK" w:hAnsi="方正仿宋_GBK" w:eastAsia="方正仿宋_GBK" w:cs="方正仿宋_GBK"/>
          <w:sz w:val="32"/>
          <w:szCs w:val="32"/>
          <w:shd w:val="clear" w:color="auto" w:fill="FFFFFF"/>
        </w:rPr>
        <w:t>12.64</w:t>
      </w:r>
      <w:r>
        <w:rPr>
          <w:rFonts w:hint="eastAsia" w:ascii="宋体" w:hAnsi="宋体" w:eastAsia="方正仿宋_GBK" w:cs="方正仿宋_GBK"/>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right="0" w:firstLine="643" w:firstLineChars="200"/>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b/>
          <w:bCs/>
          <w:sz w:val="32"/>
          <w:szCs w:val="32"/>
          <w:lang w:val="en-US" w:eastAsia="zh-CN"/>
        </w:rPr>
        <w:t>4.结转结余情况。</w:t>
      </w:r>
      <w:r>
        <w:rPr>
          <w:rFonts w:hint="eastAsia" w:ascii="宋体" w:hAnsi="宋体" w:eastAsia="方正仿宋_GBK" w:cs="方正仿宋_GBK"/>
          <w:b w:val="0"/>
          <w:bCs w:val="0"/>
          <w:sz w:val="32"/>
          <w:szCs w:val="32"/>
          <w:lang w:val="en-US" w:eastAsia="zh-CN"/>
        </w:rPr>
        <w:t>2024年度年末结转和结余0万元，与2023年度相比</w:t>
      </w:r>
      <w:r>
        <w:rPr>
          <w:rFonts w:ascii="方正仿宋_GBK" w:hAnsi="方正仿宋_GBK" w:eastAsia="方正仿宋_GBK" w:cs="方正仿宋_GBK"/>
          <w:sz w:val="32"/>
          <w:szCs w:val="32"/>
          <w:shd w:val="clear" w:color="auto" w:fill="FFFFFF"/>
        </w:rPr>
        <w:t>无增减</w:t>
      </w:r>
      <w:r>
        <w:rPr>
          <w:rFonts w:hint="eastAsia" w:ascii="宋体" w:hAnsi="宋体" w:eastAsia="方正仿宋_GBK" w:cs="方正仿宋_GBK"/>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right="0"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（二）财政拨款收支总体情况</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宋体" w:hAnsi="宋体" w:eastAsia="方正仿宋_GBK" w:cs="方正仿宋_GBK"/>
          <w:sz w:val="32"/>
          <w:lang w:val="en-US" w:eastAsia="zh-CN"/>
        </w:rPr>
      </w:pPr>
      <w:r>
        <w:rPr>
          <w:rFonts w:hint="eastAsia" w:ascii="宋体" w:hAnsi="宋体" w:eastAsia="方正仿宋_GBK" w:cs="方正仿宋_GBK"/>
          <w:sz w:val="32"/>
          <w:lang w:val="en-US" w:eastAsia="zh-CN"/>
        </w:rPr>
        <w:t>2024年度财政拨款收入总计</w:t>
      </w:r>
      <w:r>
        <w:rPr>
          <w:rFonts w:hint="eastAsia" w:ascii="宋体" w:hAnsi="宋体" w:eastAsia="方正仿宋_GBK" w:cs="方正仿宋_GBK"/>
          <w:b w:val="0"/>
          <w:bCs w:val="0"/>
          <w:sz w:val="32"/>
          <w:szCs w:val="32"/>
          <w:lang w:val="en-US" w:eastAsia="zh-CN"/>
        </w:rPr>
        <w:t>1498.35</w:t>
      </w:r>
      <w:r>
        <w:rPr>
          <w:rFonts w:hint="eastAsia" w:ascii="宋体" w:hAnsi="宋体" w:eastAsia="方正仿宋_GBK" w:cs="方正仿宋_GBK"/>
          <w:sz w:val="32"/>
          <w:lang w:val="en-US" w:eastAsia="zh-CN"/>
        </w:rPr>
        <w:t>万元，支出总计</w:t>
      </w:r>
      <w:r>
        <w:rPr>
          <w:rFonts w:hint="eastAsia" w:ascii="宋体" w:hAnsi="宋体" w:eastAsia="方正仿宋_GBK" w:cs="方正仿宋_GBK"/>
          <w:b w:val="0"/>
          <w:bCs w:val="0"/>
          <w:sz w:val="32"/>
          <w:szCs w:val="32"/>
          <w:lang w:val="en-US" w:eastAsia="zh-CN"/>
        </w:rPr>
        <w:t>1498.35</w:t>
      </w:r>
      <w:r>
        <w:rPr>
          <w:rFonts w:hint="eastAsia" w:ascii="宋体" w:hAnsi="宋体" w:eastAsia="方正仿宋_GBK" w:cs="方正仿宋_GBK"/>
          <w:sz w:val="32"/>
          <w:lang w:val="en-US" w:eastAsia="zh-CN"/>
        </w:rPr>
        <w:t>万元。</w:t>
      </w:r>
      <w:r>
        <w:rPr>
          <w:rFonts w:hint="eastAsia" w:ascii="宋体" w:hAnsi="宋体" w:eastAsia="方正仿宋_GBK" w:cs="方正仿宋_GBK"/>
          <w:sz w:val="32"/>
        </w:rPr>
        <w:t>收支较上年</w:t>
      </w:r>
      <w:r>
        <w:rPr>
          <w:rFonts w:ascii="方正仿宋_GBK" w:hAnsi="方正仿宋_GBK" w:eastAsia="方正仿宋_GBK" w:cs="方正仿宋_GBK"/>
          <w:sz w:val="32"/>
          <w:szCs w:val="32"/>
          <w:shd w:val="clear" w:color="auto" w:fill="FFFFFF"/>
        </w:rPr>
        <w:t>增加136.3万元，增长10.01</w:t>
      </w:r>
      <w:r>
        <w:rPr>
          <w:rFonts w:hint="eastAsia" w:ascii="方正仿宋_GBK" w:hAnsi="方正仿宋_GBK" w:eastAsia="方正仿宋_GBK" w:cs="方正仿宋_GBK"/>
          <w:sz w:val="32"/>
          <w:szCs w:val="32"/>
          <w:shd w:val="clear" w:color="auto" w:fill="FFFFFF"/>
          <w:lang w:val="en-US" w:eastAsia="zh-CN"/>
        </w:rPr>
        <w:t>%</w:t>
      </w:r>
      <w:r>
        <w:rPr>
          <w:rFonts w:hint="eastAsia" w:ascii="宋体" w:hAnsi="宋体" w:eastAsia="方正仿宋_GBK" w:cs="方正仿宋_GBK"/>
          <w:sz w:val="32"/>
          <w:lang w:val="en-US" w:eastAsia="zh-CN"/>
        </w:rPr>
        <w:t>，</w:t>
      </w:r>
      <w:r>
        <w:rPr>
          <w:rFonts w:hint="eastAsia" w:ascii="宋体" w:hAnsi="宋体" w:eastAsia="方正仿宋_GBK" w:cs="方正仿宋_GBK"/>
          <w:sz w:val="32"/>
        </w:rPr>
        <w:t>主要原因</w:t>
      </w:r>
      <w:r>
        <w:rPr>
          <w:rFonts w:hint="eastAsia" w:ascii="宋体" w:hAnsi="宋体" w:eastAsia="方正仿宋_GBK" w:cs="方正仿宋_GBK"/>
          <w:sz w:val="32"/>
          <w:lang w:val="en-US" w:eastAsia="zh-CN"/>
        </w:rPr>
        <w:t>为</w:t>
      </w:r>
      <w:r>
        <w:rPr>
          <w:rFonts w:hint="eastAsia" w:ascii="宋体" w:hAnsi="宋体" w:eastAsia="方正仿宋_GBK" w:cs="方正仿宋_GBK"/>
          <w:b w:val="0"/>
          <w:bCs w:val="0"/>
          <w:sz w:val="32"/>
          <w:szCs w:val="32"/>
          <w:lang w:val="en-US" w:eastAsia="zh-CN"/>
        </w:rPr>
        <w:t>森林管护项目资金收支增加</w:t>
      </w:r>
      <w:r>
        <w:rPr>
          <w:rFonts w:hint="eastAsia" w:ascii="宋体" w:hAnsi="宋体" w:eastAsia="方正仿宋_GBK" w:cs="方正仿宋_GBK"/>
          <w:sz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right="0"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（三）一般公共预算财政拨款收支总体情况</w:t>
      </w:r>
    </w:p>
    <w:p>
      <w:pPr>
        <w:keepNext w:val="0"/>
        <w:keepLines w:val="0"/>
        <w:pageBreakBefore w:val="0"/>
        <w:numPr>
          <w:ilvl w:val="0"/>
          <w:numId w:val="0"/>
        </w:numPr>
        <w:kinsoku/>
        <w:wordWrap/>
        <w:overflowPunct/>
        <w:topLinePunct w:val="0"/>
        <w:autoSpaceDN/>
        <w:bidi w:val="0"/>
        <w:snapToGrid/>
        <w:spacing w:line="579" w:lineRule="exact"/>
        <w:ind w:left="0" w:right="0" w:firstLine="643"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sz w:val="32"/>
          <w:lang w:val="en-US" w:eastAsia="zh-CN"/>
        </w:rPr>
        <w:t>1.收入情况。</w:t>
      </w:r>
      <w:r>
        <w:rPr>
          <w:rFonts w:hint="eastAsia" w:ascii="宋体" w:hAnsi="宋体" w:eastAsia="方正仿宋_GBK" w:cs="方正仿宋_GBK"/>
          <w:color w:val="auto"/>
          <w:sz w:val="32"/>
        </w:rPr>
        <w:t>202</w:t>
      </w:r>
      <w:r>
        <w:rPr>
          <w:rFonts w:hint="eastAsia" w:ascii="宋体" w:hAnsi="宋体" w:eastAsia="方正仿宋_GBK" w:cs="方正仿宋_GBK"/>
          <w:color w:val="auto"/>
          <w:sz w:val="32"/>
          <w:lang w:val="en-US" w:eastAsia="zh-CN"/>
        </w:rPr>
        <w:t>4</w:t>
      </w:r>
      <w:r>
        <w:rPr>
          <w:rFonts w:hint="eastAsia" w:ascii="宋体" w:hAnsi="宋体" w:eastAsia="方正仿宋_GBK" w:cs="方正仿宋_GBK"/>
          <w:color w:val="auto"/>
          <w:sz w:val="32"/>
        </w:rPr>
        <w:t>年度一般公共预算财政拨款收入</w:t>
      </w:r>
      <w:r>
        <w:rPr>
          <w:rFonts w:hint="eastAsia" w:ascii="宋体" w:hAnsi="宋体" w:eastAsia="方正仿宋_GBK" w:cs="方正仿宋_GBK"/>
          <w:b w:val="0"/>
          <w:bCs w:val="0"/>
          <w:sz w:val="32"/>
          <w:szCs w:val="32"/>
          <w:lang w:val="en-US" w:eastAsia="zh-CN"/>
        </w:rPr>
        <w:t>1498.35</w:t>
      </w:r>
      <w:r>
        <w:rPr>
          <w:rFonts w:hint="eastAsia" w:ascii="宋体" w:hAnsi="宋体" w:eastAsia="方正仿宋_GBK" w:cs="方正仿宋_GBK"/>
          <w:color w:val="auto"/>
          <w:sz w:val="32"/>
        </w:rPr>
        <w:t>万元，较上年</w:t>
      </w:r>
      <w:r>
        <w:rPr>
          <w:rFonts w:hint="eastAsia" w:ascii="宋体" w:hAnsi="宋体" w:eastAsia="方正仿宋_GBK" w:cs="方正仿宋_GBK"/>
          <w:color w:val="auto"/>
          <w:sz w:val="32"/>
          <w:lang w:val="en-US" w:eastAsia="zh-CN"/>
        </w:rPr>
        <w:t>决算数</w:t>
      </w:r>
      <w:r>
        <w:rPr>
          <w:rFonts w:ascii="方正仿宋_GBK" w:hAnsi="方正仿宋_GBK" w:eastAsia="方正仿宋_GBK" w:cs="方正仿宋_GBK"/>
          <w:sz w:val="32"/>
          <w:szCs w:val="32"/>
          <w:shd w:val="clear" w:color="auto" w:fill="FFFFFF"/>
        </w:rPr>
        <w:t>增加136.3万元，增长10.01</w:t>
      </w:r>
      <w:r>
        <w:rPr>
          <w:rFonts w:hint="eastAsia" w:ascii="方正仿宋_GBK" w:hAnsi="方正仿宋_GBK" w:eastAsia="方正仿宋_GBK" w:cs="方正仿宋_GBK"/>
          <w:sz w:val="32"/>
          <w:szCs w:val="32"/>
          <w:shd w:val="clear" w:color="auto" w:fill="FFFFFF"/>
          <w:lang w:val="en-US" w:eastAsia="zh-CN"/>
        </w:rPr>
        <w:t>%</w:t>
      </w:r>
      <w:r>
        <w:rPr>
          <w:rFonts w:hint="eastAsia" w:ascii="宋体" w:hAnsi="宋体" w:eastAsia="方正仿宋_GBK" w:cs="方正仿宋_GBK"/>
          <w:color w:val="auto"/>
          <w:sz w:val="32"/>
          <w:lang w:eastAsia="zh-CN"/>
        </w:rPr>
        <w:t>，</w:t>
      </w:r>
      <w:r>
        <w:rPr>
          <w:rFonts w:hint="eastAsia" w:ascii="宋体" w:hAnsi="宋体" w:eastAsia="方正仿宋_GBK" w:cs="方正仿宋_GBK"/>
          <w:color w:val="auto"/>
          <w:sz w:val="32"/>
        </w:rPr>
        <w:t>主要原因</w:t>
      </w:r>
      <w:r>
        <w:rPr>
          <w:rFonts w:hint="eastAsia" w:ascii="宋体" w:hAnsi="宋体" w:eastAsia="方正仿宋_GBK" w:cs="方正仿宋_GBK"/>
          <w:color w:val="auto"/>
          <w:sz w:val="32"/>
          <w:lang w:val="en-US" w:eastAsia="zh-CN"/>
        </w:rPr>
        <w:t>为</w:t>
      </w:r>
      <w:r>
        <w:rPr>
          <w:rFonts w:hint="eastAsia" w:ascii="宋体" w:hAnsi="宋体" w:eastAsia="方正仿宋_GBK" w:cs="方正仿宋_GBK"/>
          <w:b w:val="0"/>
          <w:bCs w:val="0"/>
          <w:sz w:val="32"/>
          <w:szCs w:val="32"/>
          <w:lang w:val="en-US" w:eastAsia="zh-CN"/>
        </w:rPr>
        <w:t>森林管护项目资金增加</w:t>
      </w:r>
      <w:r>
        <w:rPr>
          <w:rFonts w:hint="eastAsia" w:ascii="宋体" w:hAnsi="宋体" w:eastAsia="方正仿宋_GBK" w:cs="方正仿宋_GBK"/>
          <w:color w:val="auto"/>
          <w:sz w:val="32"/>
          <w:lang w:val="en-US" w:eastAsia="zh-CN"/>
        </w:rPr>
        <w:t>。较年初预算数</w:t>
      </w:r>
      <w:r>
        <w:rPr>
          <w:rFonts w:ascii="方正仿宋_GBK" w:hAnsi="方正仿宋_GBK" w:eastAsia="方正仿宋_GBK" w:cs="方正仿宋_GBK"/>
          <w:sz w:val="32"/>
          <w:szCs w:val="32"/>
          <w:shd w:val="clear" w:color="auto" w:fill="FFFFFF"/>
        </w:rPr>
        <w:t>增加95.38万元，增长6.8%</w:t>
      </w:r>
      <w:r>
        <w:rPr>
          <w:rFonts w:hint="eastAsia" w:ascii="宋体" w:hAnsi="宋体" w:eastAsia="方正仿宋_GBK" w:cs="方正仿宋_GBK"/>
          <w:color w:val="auto"/>
          <w:sz w:val="32"/>
          <w:lang w:val="en-US" w:eastAsia="zh-CN"/>
        </w:rPr>
        <w:t>，主要原因是</w:t>
      </w:r>
      <w:r>
        <w:rPr>
          <w:rFonts w:hint="eastAsia" w:ascii="宋体" w:hAnsi="宋体" w:eastAsia="方正仿宋_GBK" w:cs="方正仿宋_GBK"/>
          <w:b w:val="0"/>
          <w:bCs w:val="0"/>
          <w:sz w:val="32"/>
          <w:szCs w:val="32"/>
          <w:lang w:val="en-US" w:eastAsia="zh-CN"/>
        </w:rPr>
        <w:t>森林管护项目资金增加</w:t>
      </w:r>
      <w:r>
        <w:rPr>
          <w:rFonts w:hint="eastAsia" w:ascii="宋体" w:hAnsi="宋体" w:eastAsia="方正仿宋_GBK" w:cs="方正仿宋_GBK"/>
          <w:color w:val="auto"/>
          <w:sz w:val="32"/>
          <w:lang w:val="en-US" w:eastAsia="zh-CN"/>
        </w:rPr>
        <w:t>。</w:t>
      </w:r>
      <w:r>
        <w:rPr>
          <w:rFonts w:ascii="方正仿宋_GBK" w:hAnsi="方正仿宋_GBK" w:eastAsia="方正仿宋_GBK" w:cs="方正仿宋_GBK"/>
          <w:sz w:val="32"/>
          <w:szCs w:val="32"/>
          <w:shd w:val="clear" w:color="auto" w:fill="FFFFFF"/>
        </w:rPr>
        <w:t>此外，年初财政拨款结转和结余</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w:t>
      </w:r>
    </w:p>
    <w:p>
      <w:pPr>
        <w:keepNext w:val="0"/>
        <w:keepLines w:val="0"/>
        <w:pageBreakBefore w:val="0"/>
        <w:numPr>
          <w:ilvl w:val="0"/>
          <w:numId w:val="0"/>
        </w:numPr>
        <w:kinsoku/>
        <w:wordWrap/>
        <w:overflowPunct/>
        <w:topLinePunct w:val="0"/>
        <w:autoSpaceDN/>
        <w:bidi w:val="0"/>
        <w:snapToGrid/>
        <w:spacing w:line="579" w:lineRule="exact"/>
        <w:ind w:left="0" w:right="0" w:firstLine="643"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sz w:val="32"/>
          <w:lang w:val="en-US" w:eastAsia="zh-CN"/>
        </w:rPr>
        <w:t>2.支出情况。</w:t>
      </w:r>
      <w:r>
        <w:rPr>
          <w:rFonts w:hint="eastAsia" w:ascii="宋体" w:hAnsi="宋体" w:eastAsia="方正仿宋_GBK" w:cs="方正仿宋_GBK"/>
          <w:color w:val="auto"/>
          <w:sz w:val="32"/>
          <w:lang w:val="en-US" w:eastAsia="zh-CN"/>
        </w:rPr>
        <w:t>2024年度一般公共预算财政拨款支出</w:t>
      </w:r>
      <w:r>
        <w:rPr>
          <w:rFonts w:hint="eastAsia" w:ascii="宋体" w:hAnsi="宋体" w:eastAsia="方正仿宋_GBK" w:cs="方正仿宋_GBK"/>
          <w:b w:val="0"/>
          <w:bCs w:val="0"/>
          <w:sz w:val="32"/>
          <w:szCs w:val="32"/>
          <w:lang w:val="en-US" w:eastAsia="zh-CN"/>
        </w:rPr>
        <w:t>1498.35</w:t>
      </w:r>
      <w:r>
        <w:rPr>
          <w:rFonts w:hint="eastAsia" w:ascii="宋体" w:hAnsi="宋体" w:eastAsia="方正仿宋_GBK" w:cs="方正仿宋_GBK"/>
          <w:color w:val="auto"/>
          <w:sz w:val="32"/>
          <w:lang w:val="en-US" w:eastAsia="zh-CN"/>
        </w:rPr>
        <w:t>万元，</w:t>
      </w:r>
      <w:r>
        <w:rPr>
          <w:rFonts w:hint="eastAsia" w:ascii="宋体" w:hAnsi="宋体" w:eastAsia="方正仿宋_GBK" w:cs="方正仿宋_GBK"/>
          <w:color w:val="auto"/>
          <w:sz w:val="32"/>
        </w:rPr>
        <w:t>较上年决算数</w:t>
      </w:r>
      <w:r>
        <w:rPr>
          <w:rFonts w:hint="eastAsia" w:ascii="宋体" w:hAnsi="宋体" w:eastAsia="方正仿宋_GBK" w:cs="方正仿宋_GBK"/>
          <w:color w:val="auto"/>
          <w:sz w:val="32"/>
          <w:lang w:val="en-US" w:eastAsia="zh-CN"/>
        </w:rPr>
        <w:t>增加</w:t>
      </w:r>
      <w:r>
        <w:rPr>
          <w:rFonts w:ascii="方正仿宋_GBK" w:hAnsi="方正仿宋_GBK" w:eastAsia="方正仿宋_GBK" w:cs="方正仿宋_GBK"/>
          <w:sz w:val="32"/>
          <w:szCs w:val="32"/>
          <w:shd w:val="clear" w:color="auto" w:fill="FFFFFF"/>
        </w:rPr>
        <w:t>136.3万元，增长10.01</w:t>
      </w:r>
      <w:r>
        <w:rPr>
          <w:rFonts w:hint="eastAsia" w:ascii="方正仿宋_GBK" w:hAnsi="方正仿宋_GBK" w:eastAsia="方正仿宋_GBK" w:cs="方正仿宋_GBK"/>
          <w:sz w:val="32"/>
          <w:szCs w:val="32"/>
          <w:shd w:val="clear" w:color="auto" w:fill="FFFFFF"/>
          <w:lang w:val="en-US" w:eastAsia="zh-CN"/>
        </w:rPr>
        <w:t>%</w:t>
      </w:r>
      <w:r>
        <w:rPr>
          <w:rFonts w:hint="eastAsia" w:ascii="宋体" w:hAnsi="宋体" w:eastAsia="方正仿宋_GBK" w:cs="方正仿宋_GBK"/>
          <w:color w:val="auto"/>
          <w:sz w:val="32"/>
          <w:lang w:eastAsia="zh-CN"/>
        </w:rPr>
        <w:t>，</w:t>
      </w:r>
      <w:r>
        <w:rPr>
          <w:rFonts w:hint="eastAsia" w:ascii="宋体" w:hAnsi="宋体" w:eastAsia="方正仿宋_GBK" w:cs="方正仿宋_GBK"/>
          <w:color w:val="auto"/>
          <w:sz w:val="32"/>
        </w:rPr>
        <w:t>主要原因是</w:t>
      </w:r>
      <w:r>
        <w:rPr>
          <w:rFonts w:hint="eastAsia" w:ascii="宋体" w:hAnsi="宋体" w:eastAsia="方正仿宋_GBK" w:cs="方正仿宋_GBK"/>
          <w:b w:val="0"/>
          <w:bCs w:val="0"/>
          <w:sz w:val="32"/>
          <w:szCs w:val="32"/>
          <w:lang w:val="en-US" w:eastAsia="zh-CN"/>
        </w:rPr>
        <w:t>森林管护项目支出增加</w:t>
      </w:r>
      <w:r>
        <w:rPr>
          <w:rFonts w:hint="eastAsia" w:ascii="宋体" w:hAnsi="宋体" w:eastAsia="方正仿宋_GBK" w:cs="方正仿宋_GBK"/>
          <w:color w:val="auto"/>
          <w:sz w:val="32"/>
          <w:lang w:val="en-US" w:eastAsia="zh-CN"/>
        </w:rPr>
        <w:t>。较年初预算数</w:t>
      </w:r>
      <w:r>
        <w:rPr>
          <w:rFonts w:ascii="方正仿宋_GBK" w:hAnsi="方正仿宋_GBK" w:eastAsia="方正仿宋_GBK" w:cs="方正仿宋_GBK"/>
          <w:sz w:val="32"/>
          <w:szCs w:val="32"/>
          <w:shd w:val="clear" w:color="auto" w:fill="FFFFFF"/>
        </w:rPr>
        <w:t>增加95.38万元，增长6.8%</w:t>
      </w:r>
      <w:r>
        <w:rPr>
          <w:rFonts w:hint="eastAsia" w:ascii="宋体" w:hAnsi="宋体" w:eastAsia="方正仿宋_GBK" w:cs="方正仿宋_GBK"/>
          <w:color w:val="auto"/>
          <w:sz w:val="32"/>
          <w:lang w:val="en-US" w:eastAsia="zh-CN"/>
        </w:rPr>
        <w:t>，主要原因是</w:t>
      </w:r>
      <w:r>
        <w:rPr>
          <w:rFonts w:hint="eastAsia" w:ascii="宋体" w:hAnsi="宋体" w:eastAsia="方正仿宋_GBK" w:cs="方正仿宋_GBK"/>
          <w:b w:val="0"/>
          <w:bCs w:val="0"/>
          <w:sz w:val="32"/>
          <w:szCs w:val="32"/>
          <w:lang w:val="en-US" w:eastAsia="zh-CN"/>
        </w:rPr>
        <w:t>森林管护项目支出增加</w:t>
      </w:r>
      <w:r>
        <w:rPr>
          <w:rFonts w:hint="eastAsia" w:ascii="宋体" w:hAnsi="宋体" w:eastAsia="方正仿宋_GBK" w:cs="方正仿宋_GBK"/>
          <w:color w:val="auto"/>
          <w:sz w:val="32"/>
          <w:lang w:val="en-US" w:eastAsia="zh-CN"/>
        </w:rPr>
        <w:t>。</w:t>
      </w:r>
    </w:p>
    <w:p>
      <w:pPr>
        <w:keepNext w:val="0"/>
        <w:keepLines w:val="0"/>
        <w:pageBreakBefore w:val="0"/>
        <w:numPr>
          <w:ilvl w:val="0"/>
          <w:numId w:val="0"/>
        </w:numPr>
        <w:kinsoku/>
        <w:wordWrap/>
        <w:overflowPunct/>
        <w:topLinePunct w:val="0"/>
        <w:autoSpaceDN/>
        <w:bidi w:val="0"/>
        <w:snapToGrid/>
        <w:spacing w:line="579" w:lineRule="exact"/>
        <w:ind w:left="0" w:right="0" w:firstLine="643"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color w:val="auto"/>
          <w:sz w:val="32"/>
          <w:lang w:val="en-US" w:eastAsia="zh-CN"/>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val="en-US" w:eastAsia="zh-CN"/>
        </w:rPr>
        <w:t>。</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left="0" w:right="0" w:rightChars="0" w:firstLine="643"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b/>
          <w:bCs/>
          <w:kern w:val="2"/>
          <w:sz w:val="32"/>
          <w:szCs w:val="22"/>
          <w:lang w:val="en-US" w:eastAsia="zh-CN" w:bidi="ar-SA"/>
        </w:rPr>
        <w:t>4.比较情况。</w:t>
      </w:r>
      <w:r>
        <w:rPr>
          <w:rFonts w:hint="eastAsia" w:ascii="宋体" w:hAnsi="宋体" w:eastAsia="方正仿宋_GBK" w:cs="方正仿宋_GBK"/>
          <w:color w:val="auto"/>
          <w:sz w:val="32"/>
          <w:lang w:val="en-US" w:eastAsia="zh-CN"/>
        </w:rPr>
        <w:t>本单位2024年度一般公共预算财政拨款支出主要用于以下几个方面：</w:t>
      </w:r>
    </w:p>
    <w:p>
      <w:pPr>
        <w:pStyle w:val="5"/>
        <w:keepNext w:val="0"/>
        <w:keepLines w:val="0"/>
        <w:pageBreakBefore w:val="0"/>
        <w:kinsoku/>
        <w:wordWrap/>
        <w:overflowPunct/>
        <w:topLinePunct w:val="0"/>
        <w:autoSpaceDN/>
        <w:bidi w:val="0"/>
        <w:snapToGrid w:val="0"/>
        <w:spacing w:before="0" w:beforeAutospacing="0" w:after="0" w:afterAutospacing="0" w:line="579" w:lineRule="exact"/>
        <w:ind w:left="0" w:right="0"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w:t>
      </w:r>
      <w:r>
        <w:rPr>
          <w:rFonts w:ascii="方正仿宋_GBK" w:hAnsi="方正仿宋_GBK" w:eastAsia="方正仿宋_GBK" w:cs="方正仿宋_GBK"/>
          <w:color w:val="auto"/>
          <w:sz w:val="32"/>
          <w:szCs w:val="32"/>
          <w:shd w:val="clear" w:color="auto" w:fill="FFFFFF"/>
        </w:rPr>
        <w:t>）教育支出</w:t>
      </w:r>
      <w:r>
        <w:rPr>
          <w:rFonts w:ascii="方正仿宋_GBK" w:hAnsi="方正仿宋_GBK" w:eastAsia="方正仿宋_GBK" w:cs="方正仿宋_GBK"/>
          <w:color w:val="auto"/>
          <w:sz w:val="32"/>
          <w:szCs w:val="32"/>
        </w:rPr>
        <w:t>0.81</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0.05</w:t>
      </w:r>
      <w:r>
        <w:rPr>
          <w:rFonts w:ascii="方正仿宋_GBK" w:hAnsi="方正仿宋_GBK" w:eastAsia="方正仿宋_GBK" w:cs="方正仿宋_GBK"/>
          <w:color w:val="auto"/>
          <w:sz w:val="32"/>
          <w:szCs w:val="32"/>
          <w:shd w:val="clear" w:color="auto" w:fill="FFFFFF"/>
        </w:rPr>
        <w:t>%，较年初预算数减少4.79万元，下降85.54%，主要原因是</w:t>
      </w:r>
      <w:r>
        <w:rPr>
          <w:rFonts w:hint="eastAsia" w:ascii="方正仿宋_GBK" w:hAnsi="方正仿宋_GBK" w:eastAsia="方正仿宋_GBK" w:cs="方正仿宋_GBK"/>
          <w:color w:val="auto"/>
          <w:sz w:val="32"/>
          <w:szCs w:val="32"/>
          <w:shd w:val="clear" w:color="auto" w:fill="FFFFFF"/>
          <w:lang w:eastAsia="zh-CN"/>
        </w:rPr>
        <w:t>职工培训减少</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kinsoku/>
        <w:wordWrap/>
        <w:overflowPunct/>
        <w:topLinePunct w:val="0"/>
        <w:autoSpaceDN/>
        <w:bidi w:val="0"/>
        <w:snapToGrid w:val="0"/>
        <w:spacing w:before="0" w:beforeAutospacing="0" w:after="0" w:afterAutospacing="0" w:line="579" w:lineRule="exact"/>
        <w:ind w:left="0" w:right="0"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）社会保障与就业支出</w:t>
      </w:r>
      <w:r>
        <w:rPr>
          <w:rFonts w:ascii="方正仿宋_GBK" w:hAnsi="方正仿宋_GBK" w:eastAsia="方正仿宋_GBK" w:cs="方正仿宋_GBK"/>
          <w:color w:val="auto"/>
          <w:sz w:val="32"/>
          <w:szCs w:val="32"/>
        </w:rPr>
        <w:t>286.24</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19.10</w:t>
      </w:r>
      <w:r>
        <w:rPr>
          <w:rFonts w:ascii="方正仿宋_GBK" w:hAnsi="方正仿宋_GBK" w:eastAsia="方正仿宋_GBK" w:cs="方正仿宋_GBK"/>
          <w:color w:val="auto"/>
          <w:sz w:val="32"/>
          <w:szCs w:val="32"/>
          <w:shd w:val="clear" w:color="auto" w:fill="FFFFFF"/>
        </w:rPr>
        <w:t>%，较年初预算数减少11.34万元，下降3.81%，主要原因是</w:t>
      </w:r>
      <w:r>
        <w:rPr>
          <w:rFonts w:hint="eastAsia" w:ascii="宋体" w:hAnsi="宋体" w:eastAsia="方正仿宋_GBK" w:cs="方正仿宋_GBK"/>
          <w:color w:val="auto"/>
          <w:sz w:val="32"/>
          <w:lang w:val="en-US" w:eastAsia="zh-CN"/>
        </w:rPr>
        <w:t>林场职工养老保险缴费使用天保社会保险补助资金缴纳</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kinsoku/>
        <w:wordWrap/>
        <w:overflowPunct/>
        <w:topLinePunct w:val="0"/>
        <w:autoSpaceDN/>
        <w:bidi w:val="0"/>
        <w:snapToGrid w:val="0"/>
        <w:spacing w:before="0" w:beforeAutospacing="0" w:after="0" w:afterAutospacing="0" w:line="579" w:lineRule="exact"/>
        <w:ind w:left="0" w:right="0"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45.95</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3.07</w:t>
      </w:r>
      <w:r>
        <w:rPr>
          <w:rFonts w:ascii="方正仿宋_GBK" w:hAnsi="方正仿宋_GBK" w:eastAsia="方正仿宋_GBK" w:cs="方正仿宋_GBK"/>
          <w:color w:val="auto"/>
          <w:sz w:val="32"/>
          <w:szCs w:val="32"/>
          <w:shd w:val="clear" w:color="auto" w:fill="FFFFFF"/>
        </w:rPr>
        <w:t>%，较年初预算数减少31.13万元，下降40.39%，主要原因是</w:t>
      </w:r>
      <w:r>
        <w:rPr>
          <w:rFonts w:hint="eastAsia" w:ascii="宋体" w:hAnsi="宋体" w:eastAsia="方正仿宋_GBK" w:cs="方正仿宋_GBK"/>
          <w:color w:val="auto"/>
          <w:sz w:val="32"/>
          <w:lang w:val="en-US" w:eastAsia="zh-CN"/>
        </w:rPr>
        <w:t>林场职工医疗保险缴费使用天保社会保险补助资金缴纳</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kinsoku/>
        <w:wordWrap/>
        <w:overflowPunct/>
        <w:topLinePunct w:val="0"/>
        <w:autoSpaceDN/>
        <w:bidi w:val="0"/>
        <w:snapToGrid w:val="0"/>
        <w:spacing w:before="0" w:beforeAutospacing="0" w:after="0" w:afterAutospacing="0" w:line="579" w:lineRule="exact"/>
        <w:ind w:left="0" w:right="0"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）节能环保支出</w:t>
      </w:r>
      <w:r>
        <w:rPr>
          <w:rFonts w:ascii="方正仿宋_GBK" w:hAnsi="方正仿宋_GBK" w:eastAsia="方正仿宋_GBK" w:cs="方正仿宋_GBK"/>
          <w:color w:val="auto"/>
          <w:sz w:val="32"/>
          <w:szCs w:val="32"/>
        </w:rPr>
        <w:t>162.19</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10.82</w:t>
      </w:r>
      <w:r>
        <w:rPr>
          <w:rFonts w:ascii="方正仿宋_GBK" w:hAnsi="方正仿宋_GBK" w:eastAsia="方正仿宋_GBK" w:cs="方正仿宋_GBK"/>
          <w:color w:val="auto"/>
          <w:sz w:val="32"/>
          <w:szCs w:val="32"/>
          <w:shd w:val="clear" w:color="auto" w:fill="FFFFFF"/>
        </w:rPr>
        <w:t>%，较年初预算数增加134.29万元，增长481.33%，主要原因是</w:t>
      </w:r>
      <w:r>
        <w:rPr>
          <w:rFonts w:hint="eastAsia" w:ascii="方正仿宋_GBK" w:hAnsi="方正仿宋_GBK" w:eastAsia="方正仿宋_GBK" w:cs="方正仿宋_GBK"/>
          <w:color w:val="auto"/>
          <w:sz w:val="32"/>
          <w:szCs w:val="32"/>
          <w:shd w:val="clear" w:color="auto" w:fill="FFFFFF"/>
          <w:lang w:eastAsia="zh-CN"/>
        </w:rPr>
        <w:t>森林管护项目支出增加</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kinsoku/>
        <w:wordWrap/>
        <w:overflowPunct/>
        <w:topLinePunct w:val="0"/>
        <w:autoSpaceDN/>
        <w:bidi w:val="0"/>
        <w:snapToGrid w:val="0"/>
        <w:spacing w:before="0" w:beforeAutospacing="0" w:after="0" w:afterAutospacing="0" w:line="579" w:lineRule="exact"/>
        <w:ind w:left="0" w:right="0"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5</w:t>
      </w:r>
      <w:r>
        <w:rPr>
          <w:rFonts w:ascii="方正仿宋_GBK" w:hAnsi="方正仿宋_GBK" w:eastAsia="方正仿宋_GBK" w:cs="方正仿宋_GBK"/>
          <w:color w:val="auto"/>
          <w:sz w:val="32"/>
          <w:szCs w:val="32"/>
          <w:shd w:val="clear" w:color="auto" w:fill="FFFFFF"/>
        </w:rPr>
        <w:t>）农林水支出</w:t>
      </w:r>
      <w:r>
        <w:rPr>
          <w:rFonts w:ascii="方正仿宋_GBK" w:hAnsi="方正仿宋_GBK" w:eastAsia="方正仿宋_GBK" w:cs="方正仿宋_GBK"/>
          <w:color w:val="auto"/>
          <w:sz w:val="32"/>
          <w:szCs w:val="32"/>
        </w:rPr>
        <w:t>959.86</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64.06</w:t>
      </w:r>
      <w:r>
        <w:rPr>
          <w:rFonts w:ascii="方正仿宋_GBK" w:hAnsi="方正仿宋_GBK" w:eastAsia="方正仿宋_GBK" w:cs="方正仿宋_GBK"/>
          <w:color w:val="auto"/>
          <w:sz w:val="32"/>
          <w:szCs w:val="32"/>
          <w:shd w:val="clear" w:color="auto" w:fill="FFFFFF"/>
        </w:rPr>
        <w:t>%，较年初预算数增加8.34万元，增长0.88%，主要原因是</w:t>
      </w:r>
      <w:r>
        <w:rPr>
          <w:rFonts w:hint="eastAsia" w:ascii="方正仿宋_GBK" w:hAnsi="方正仿宋_GBK" w:eastAsia="方正仿宋_GBK" w:cs="方正仿宋_GBK"/>
          <w:color w:val="auto"/>
          <w:sz w:val="32"/>
          <w:szCs w:val="32"/>
          <w:shd w:val="clear" w:color="auto" w:fill="FFFFFF"/>
          <w:lang w:eastAsia="zh-CN"/>
        </w:rPr>
        <w:t>人员增加，工资支出增加</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kinsoku/>
        <w:wordWrap/>
        <w:overflowPunct/>
        <w:topLinePunct w:val="0"/>
        <w:autoSpaceDN/>
        <w:bidi w:val="0"/>
        <w:snapToGrid w:val="0"/>
        <w:spacing w:before="0" w:beforeAutospacing="0" w:after="0" w:afterAutospacing="0" w:line="579" w:lineRule="exact"/>
        <w:ind w:left="0" w:right="0"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6</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住房保障支出43.30</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2.89</w:t>
      </w:r>
      <w:r>
        <w:rPr>
          <w:rFonts w:ascii="方正仿宋_GBK" w:hAnsi="方正仿宋_GBK" w:eastAsia="方正仿宋_GBK" w:cs="方正仿宋_GBK"/>
          <w:color w:val="auto"/>
          <w:sz w:val="32"/>
          <w:szCs w:val="32"/>
          <w:shd w:val="clear" w:color="auto" w:fill="FFFFFF"/>
        </w:rPr>
        <w:t>%，较年初预算数无增减。</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right="0" w:firstLine="640" w:firstLineChars="200"/>
        <w:textAlignment w:val="auto"/>
        <w:outlineLvl w:val="1"/>
        <w:rPr>
          <w:rFonts w:hint="eastAsia" w:ascii="宋体" w:hAnsi="宋体" w:eastAsia="方正楷体_GBK" w:cs="方正楷体_GBK"/>
          <w:sz w:val="32"/>
          <w:szCs w:val="32"/>
          <w:lang w:val="en-US" w:eastAsia="zh-CN"/>
        </w:rPr>
      </w:pPr>
      <w:r>
        <w:rPr>
          <w:rStyle w:val="14"/>
          <w:rFonts w:hint="eastAsia" w:ascii="宋体" w:hAnsi="宋体" w:eastAsia="方正楷体_GBK" w:cs="方正楷体_GBK"/>
          <w:b w:val="0"/>
          <w:bCs/>
          <w:kern w:val="2"/>
          <w:sz w:val="32"/>
          <w:szCs w:val="32"/>
          <w:shd w:val="clear" w:color="auto" w:fill="FFFFFF"/>
          <w:lang w:val="en-US" w:eastAsia="zh-CN" w:bidi="ar-SA"/>
        </w:rPr>
        <w:t>（四）一般公共预算财政拨款基本支出情况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2024年度一般公共预算财政拨款基本支出</w:t>
      </w:r>
      <w:r>
        <w:rPr>
          <w:rFonts w:ascii="方正仿宋_GBK" w:hAnsi="方正仿宋_GBK" w:eastAsia="方正仿宋_GBK" w:cs="方正仿宋_GBK"/>
          <w:sz w:val="32"/>
          <w:szCs w:val="32"/>
        </w:rPr>
        <w:t>1308.89</w:t>
      </w:r>
      <w:r>
        <w:rPr>
          <w:rFonts w:hint="eastAsia" w:ascii="宋体" w:hAnsi="宋体" w:eastAsia="方正仿宋_GBK" w:cs="方正仿宋_GBK"/>
          <w:color w:val="auto"/>
          <w:sz w:val="32"/>
          <w:lang w:val="en-US" w:eastAsia="zh-CN"/>
        </w:rPr>
        <w:t>万元。其中：人员经费</w:t>
      </w:r>
      <w:r>
        <w:rPr>
          <w:rFonts w:ascii="方正仿宋_GBK" w:hAnsi="方正仿宋_GBK" w:eastAsia="方正仿宋_GBK" w:cs="方正仿宋_GBK"/>
          <w:sz w:val="32"/>
          <w:szCs w:val="32"/>
        </w:rPr>
        <w:t>1156.48</w:t>
      </w:r>
      <w:r>
        <w:rPr>
          <w:rFonts w:hint="eastAsia" w:ascii="宋体" w:hAnsi="宋体" w:eastAsia="方正仿宋_GBK" w:cs="方正仿宋_GBK"/>
          <w:color w:val="auto"/>
          <w:sz w:val="32"/>
          <w:lang w:val="en-US" w:eastAsia="zh-CN"/>
        </w:rPr>
        <w:t>万元，</w:t>
      </w:r>
      <w:r>
        <w:rPr>
          <w:rFonts w:hint="eastAsia" w:ascii="Times New Roman" w:hAnsi="Times New Roman" w:eastAsia="方正仿宋_GBK" w:cs="方正仿宋_GBK"/>
          <w:color w:val="auto"/>
          <w:sz w:val="32"/>
          <w:lang w:val="en-US" w:eastAsia="zh-CN"/>
        </w:rPr>
        <w:t>主要用于工资福利和对个人和家庭的补助支出</w:t>
      </w:r>
      <w:r>
        <w:rPr>
          <w:rFonts w:hint="eastAsia" w:ascii="宋体" w:hAnsi="宋体" w:eastAsia="方正仿宋_GBK" w:cs="方正仿宋_GBK"/>
          <w:color w:val="auto"/>
          <w:sz w:val="32"/>
          <w:lang w:val="en-US" w:eastAsia="zh-CN"/>
        </w:rPr>
        <w:t>，较上年决算数</w:t>
      </w:r>
      <w:r>
        <w:rPr>
          <w:rFonts w:ascii="方正仿宋_GBK" w:hAnsi="方正仿宋_GBK" w:eastAsia="方正仿宋_GBK" w:cs="方正仿宋_GBK"/>
          <w:sz w:val="32"/>
          <w:szCs w:val="32"/>
          <w:shd w:val="clear" w:color="auto" w:fill="FFFFFF"/>
        </w:rPr>
        <w:t>增加71.69万元，增长6.61%</w:t>
      </w:r>
      <w:r>
        <w:rPr>
          <w:rFonts w:hint="eastAsia" w:ascii="宋体" w:hAnsi="宋体" w:eastAsia="方正仿宋_GBK" w:cs="方正仿宋_GBK"/>
          <w:color w:val="auto"/>
          <w:sz w:val="32"/>
          <w:lang w:val="en-US" w:eastAsia="zh-CN"/>
        </w:rPr>
        <w:t>，主要原因是人员增加以及保险基数调整，单位缴费增加。公用经费</w:t>
      </w:r>
      <w:r>
        <w:rPr>
          <w:rFonts w:ascii="方正仿宋_GBK" w:hAnsi="方正仿宋_GBK" w:eastAsia="方正仿宋_GBK" w:cs="方正仿宋_GBK"/>
          <w:sz w:val="32"/>
          <w:szCs w:val="32"/>
        </w:rPr>
        <w:t>152.41</w:t>
      </w:r>
      <w:r>
        <w:rPr>
          <w:rFonts w:hint="eastAsia" w:ascii="宋体" w:hAnsi="宋体" w:eastAsia="方正仿宋_GBK" w:cs="方正仿宋_GBK"/>
          <w:color w:val="auto"/>
          <w:sz w:val="32"/>
          <w:lang w:val="en-US" w:eastAsia="zh-CN"/>
        </w:rPr>
        <w:t>万元，</w:t>
      </w:r>
      <w:r>
        <w:rPr>
          <w:rFonts w:hint="eastAsia" w:ascii="Times New Roman" w:hAnsi="Times New Roman" w:eastAsia="方正仿宋_GBK" w:cs="方正仿宋_GBK"/>
          <w:color w:val="auto"/>
          <w:sz w:val="32"/>
          <w:lang w:val="en-US" w:eastAsia="zh-CN"/>
        </w:rPr>
        <w:t>主要用于</w:t>
      </w:r>
      <w:r>
        <w:rPr>
          <w:rFonts w:hint="eastAsia" w:ascii="Times New Roman" w:hAnsi="Times New Roman" w:eastAsia="方正仿宋_GBK" w:cs="方正仿宋_GBK"/>
          <w:b w:val="0"/>
          <w:bCs w:val="0"/>
          <w:kern w:val="0"/>
          <w:sz w:val="32"/>
          <w:szCs w:val="32"/>
          <w:shd w:val="clear" w:color="auto" w:fill="FFFFFF"/>
        </w:rPr>
        <w:t>办公费、电费、邮电费、劳务费</w:t>
      </w:r>
      <w:r>
        <w:rPr>
          <w:rFonts w:hint="eastAsia" w:ascii="Times New Roman" w:hAnsi="Times New Roman" w:eastAsia="方正仿宋_GBK" w:cs="方正仿宋_GBK"/>
          <w:b w:val="0"/>
          <w:bCs w:val="0"/>
          <w:kern w:val="0"/>
          <w:sz w:val="32"/>
          <w:szCs w:val="32"/>
          <w:shd w:val="clear" w:color="auto" w:fill="FFFFFF"/>
          <w:lang w:eastAsia="zh-CN"/>
        </w:rPr>
        <w:t>、公务用车运行维护费、</w:t>
      </w:r>
      <w:r>
        <w:rPr>
          <w:rFonts w:hint="eastAsia" w:ascii="Times New Roman" w:hAnsi="Times New Roman" w:eastAsia="方正仿宋_GBK" w:cs="方正仿宋_GBK"/>
          <w:b w:val="0"/>
          <w:bCs w:val="0"/>
          <w:kern w:val="0"/>
          <w:sz w:val="32"/>
          <w:szCs w:val="32"/>
          <w:shd w:val="clear" w:color="auto" w:fill="FFFFFF"/>
        </w:rPr>
        <w:t>差旅费等</w:t>
      </w:r>
      <w:r>
        <w:rPr>
          <w:rFonts w:hint="eastAsia" w:ascii="Times New Roman" w:hAnsi="Times New Roman" w:eastAsia="方正仿宋_GBK" w:cs="方正仿宋_GBK"/>
          <w:color w:val="auto"/>
          <w:sz w:val="32"/>
          <w:lang w:val="en-US" w:eastAsia="zh-CN"/>
        </w:rPr>
        <w:t>，</w:t>
      </w:r>
      <w:r>
        <w:rPr>
          <w:rFonts w:hint="eastAsia" w:ascii="宋体" w:hAnsi="宋体" w:eastAsia="方正仿宋_GBK" w:cs="方正仿宋_GBK"/>
          <w:color w:val="auto"/>
          <w:sz w:val="32"/>
          <w:lang w:val="en-US" w:eastAsia="zh-CN"/>
        </w:rPr>
        <w:t>较上年决算数减少</w:t>
      </w:r>
      <w:r>
        <w:rPr>
          <w:rFonts w:ascii="方正仿宋_GBK" w:hAnsi="方正仿宋_GBK" w:eastAsia="方正仿宋_GBK" w:cs="方正仿宋_GBK"/>
          <w:sz w:val="32"/>
          <w:szCs w:val="32"/>
          <w:shd w:val="clear" w:color="auto" w:fill="FFFFFF"/>
        </w:rPr>
        <w:t>4.95万元，下降3.15%</w:t>
      </w:r>
      <w:r>
        <w:rPr>
          <w:rFonts w:hint="eastAsia" w:ascii="宋体" w:hAnsi="宋体" w:eastAsia="方正仿宋_GBK" w:cs="方正仿宋_GBK"/>
          <w:color w:val="auto"/>
          <w:sz w:val="32"/>
          <w:lang w:val="en-US" w:eastAsia="zh-CN"/>
        </w:rPr>
        <w:t>，主要原因是加强单位运行管理，倡导节能减排，减少非必要性开支。</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righ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（五）政府性基金预算收支决算情况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度无政府性基金预算财政拨款收支</w:t>
      </w:r>
      <w:r>
        <w:rPr>
          <w:rFonts w:hint="eastAsia" w:ascii="方正仿宋_GBK" w:hAnsi="方正仿宋_GBK" w:eastAsia="方正仿宋_GBK" w:cs="方正仿宋_GBK"/>
          <w:color w:val="auto"/>
          <w:sz w:val="32"/>
          <w:szCs w:val="32"/>
          <w:shd w:val="clear" w:color="auto" w:fill="FFFFFF"/>
          <w:lang w:eastAsia="zh-CN"/>
        </w:rPr>
        <w:t>。</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righ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（六）国有资本经营预算财政拨款支出决算情况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color w:val="auto"/>
          <w:sz w:val="32"/>
          <w:lang w:val="en-US" w:eastAsia="zh-CN"/>
        </w:rPr>
      </w:pPr>
      <w:r>
        <w:rPr>
          <w:rFonts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度无国有资本经营预算财政拨款支出。</w:t>
      </w:r>
    </w:p>
    <w:p>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left="0" w:right="0" w:rightChars="0" w:firstLine="640" w:firstLineChars="200"/>
        <w:jc w:val="left"/>
        <w:textAlignment w:val="auto"/>
        <w:outlineLvl w:val="0"/>
        <w:rPr>
          <w:rStyle w:val="14"/>
          <w:rFonts w:hint="eastAsia" w:ascii="宋体" w:hAnsi="宋体" w:eastAsia="方正黑体_GBK" w:cs="方正黑体_GBK"/>
          <w:b w:val="0"/>
          <w:sz w:val="32"/>
          <w:szCs w:val="32"/>
          <w:shd w:val="clear" w:color="auto" w:fill="FFFFFF"/>
        </w:rPr>
      </w:pPr>
      <w:r>
        <w:rPr>
          <w:rStyle w:val="14"/>
          <w:rFonts w:hint="eastAsia" w:ascii="宋体" w:hAnsi="宋体" w:eastAsia="方正黑体_GBK" w:cs="方正黑体_GBK"/>
          <w:b w:val="0"/>
          <w:sz w:val="32"/>
          <w:szCs w:val="32"/>
          <w:shd w:val="clear" w:color="auto" w:fill="FFFFFF"/>
          <w:lang w:val="en-US" w:eastAsia="zh-CN"/>
        </w:rPr>
        <w:t>三、</w:t>
      </w:r>
      <w:r>
        <w:rPr>
          <w:rStyle w:val="14"/>
          <w:rFonts w:hint="eastAsia" w:ascii="宋体" w:hAnsi="宋体" w:eastAsia="方正黑体_GBK" w:cs="方正黑体_GBK"/>
          <w:b w:val="0"/>
          <w:sz w:val="32"/>
          <w:szCs w:val="32"/>
          <w:shd w:val="clear" w:color="auto" w:fill="FFFFFF"/>
        </w:rPr>
        <w:t>“三公”经费情况</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righ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（一）“三公”经费支出总体情况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2024年度“三公”经费支出共计</w:t>
      </w:r>
      <w:r>
        <w:rPr>
          <w:rFonts w:ascii="方正仿宋_GBK" w:hAnsi="方正仿宋_GBK" w:eastAsia="方正仿宋_GBK" w:cs="方正仿宋_GBK"/>
          <w:sz w:val="32"/>
          <w:szCs w:val="32"/>
        </w:rPr>
        <w:t>10.3</w:t>
      </w:r>
      <w:r>
        <w:rPr>
          <w:rFonts w:hint="eastAsia" w:ascii="宋体" w:hAnsi="宋体" w:eastAsia="方正仿宋_GBK" w:cs="方正仿宋_GBK"/>
          <w:color w:val="auto"/>
          <w:sz w:val="32"/>
          <w:lang w:val="en-US" w:eastAsia="zh-CN"/>
        </w:rPr>
        <w:t>万元，较年初预算数</w:t>
      </w:r>
      <w:r>
        <w:rPr>
          <w:rFonts w:ascii="方正仿宋_GBK" w:hAnsi="方正仿宋_GBK" w:eastAsia="方正仿宋_GBK" w:cs="方正仿宋_GBK"/>
          <w:sz w:val="32"/>
          <w:szCs w:val="32"/>
          <w:shd w:val="clear" w:color="auto" w:fill="FFFFFF"/>
        </w:rPr>
        <w:t>减少0.7万元，下降6.36%</w:t>
      </w:r>
      <w:r>
        <w:rPr>
          <w:rFonts w:hint="eastAsia" w:ascii="宋体" w:hAnsi="宋体" w:eastAsia="方正仿宋_GBK" w:cs="方正仿宋_GBK"/>
          <w:color w:val="auto"/>
          <w:sz w:val="32"/>
          <w:lang w:val="en-US" w:eastAsia="zh-CN"/>
        </w:rPr>
        <w:t>，主要原因是强化管理，严控“三公”经费开支。较上年支出数</w:t>
      </w:r>
      <w:r>
        <w:rPr>
          <w:rFonts w:ascii="方正仿宋_GBK" w:hAnsi="方正仿宋_GBK" w:eastAsia="方正仿宋_GBK" w:cs="方正仿宋_GBK"/>
          <w:sz w:val="32"/>
          <w:szCs w:val="32"/>
          <w:shd w:val="clear" w:color="auto" w:fill="FFFFFF"/>
        </w:rPr>
        <w:t>增加1.97万元，增长23.65%</w:t>
      </w:r>
      <w:r>
        <w:rPr>
          <w:rFonts w:hint="eastAsia" w:ascii="宋体" w:hAnsi="宋体" w:eastAsia="方正仿宋_GBK" w:cs="方正仿宋_GBK"/>
          <w:color w:val="auto"/>
          <w:sz w:val="32"/>
          <w:lang w:val="en-US" w:eastAsia="zh-CN"/>
        </w:rPr>
        <w:t>，主要原因是公务接待费用增加。</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righ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（二）“三公”经费分项支出情况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因公出国（境）费用0万元。费用支出较年初预算数持平，较上年支出数持平。</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公务车购置费用0万元。费用支出较年初预算数持平，较上年支出数持平。</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公务车运行维护费</w:t>
      </w:r>
      <w:r>
        <w:rPr>
          <w:rFonts w:ascii="方正仿宋_GBK" w:hAnsi="方正仿宋_GBK" w:eastAsia="方正仿宋_GBK" w:cs="方正仿宋_GBK"/>
          <w:sz w:val="32"/>
          <w:szCs w:val="32"/>
        </w:rPr>
        <w:t>8.97</w:t>
      </w:r>
      <w:r>
        <w:rPr>
          <w:rFonts w:hint="eastAsia" w:ascii="宋体" w:hAnsi="宋体" w:eastAsia="方正仿宋_GBK" w:cs="方正仿宋_GBK"/>
          <w:color w:val="auto"/>
          <w:sz w:val="32"/>
          <w:lang w:val="en-US" w:eastAsia="zh-CN"/>
        </w:rPr>
        <w:t>万元，</w:t>
      </w:r>
      <w:r>
        <w:rPr>
          <w:rFonts w:hint="eastAsia" w:ascii="Times New Roman" w:hAnsi="Times New Roman" w:eastAsia="方正仿宋_GBK" w:cs="方正仿宋_GBK"/>
          <w:color w:val="auto"/>
          <w:sz w:val="32"/>
          <w:lang w:val="en-US" w:eastAsia="zh-CN"/>
        </w:rPr>
        <w:t>主要用于公务用车燃料费、维修费、保险费、过桥过路费等。</w:t>
      </w:r>
      <w:r>
        <w:rPr>
          <w:rFonts w:hint="eastAsia" w:ascii="宋体" w:hAnsi="宋体" w:eastAsia="方正仿宋_GBK" w:cs="方正仿宋_GBK"/>
          <w:color w:val="auto"/>
          <w:sz w:val="32"/>
          <w:lang w:val="en-US" w:eastAsia="zh-CN"/>
        </w:rPr>
        <w:t>费用支出较年初预算数</w:t>
      </w:r>
      <w:r>
        <w:rPr>
          <w:rFonts w:ascii="方正仿宋_GBK" w:hAnsi="方正仿宋_GBK" w:eastAsia="方正仿宋_GBK" w:cs="方正仿宋_GBK"/>
          <w:sz w:val="32"/>
          <w:szCs w:val="32"/>
          <w:shd w:val="clear" w:color="auto" w:fill="FFFFFF"/>
        </w:rPr>
        <w:t>减少0.03</w:t>
      </w:r>
      <w:r>
        <w:rPr>
          <w:rFonts w:hint="eastAsia" w:ascii="宋体" w:hAnsi="宋体" w:eastAsia="方正仿宋_GBK" w:cs="方正仿宋_GBK"/>
          <w:color w:val="auto"/>
          <w:sz w:val="32"/>
          <w:lang w:val="en-US" w:eastAsia="zh-CN"/>
        </w:rPr>
        <w:t>万元，较上年支出数</w:t>
      </w:r>
      <w:r>
        <w:rPr>
          <w:rFonts w:ascii="方正仿宋_GBK" w:hAnsi="方正仿宋_GBK" w:eastAsia="方正仿宋_GBK" w:cs="方正仿宋_GBK"/>
          <w:sz w:val="32"/>
          <w:szCs w:val="32"/>
          <w:shd w:val="clear" w:color="auto" w:fill="FFFFFF"/>
        </w:rPr>
        <w:t>增加0.69万元，增长8.33%</w:t>
      </w:r>
      <w:r>
        <w:rPr>
          <w:rFonts w:hint="eastAsia" w:ascii="宋体" w:hAnsi="宋体" w:eastAsia="方正仿宋_GBK" w:cs="方正仿宋_GBK"/>
          <w:color w:val="auto"/>
          <w:sz w:val="32"/>
          <w:lang w:val="en-US" w:eastAsia="zh-CN"/>
        </w:rPr>
        <w:t>，主要原因是森林防火用车增多，费用增加。</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公务接待费1.33万元，主要用于</w:t>
      </w:r>
      <w:r>
        <w:rPr>
          <w:rFonts w:hint="eastAsia" w:ascii="Times New Roman" w:hAnsi="Times New Roman" w:eastAsia="方正仿宋_GBK" w:cs="方正仿宋_GBK"/>
          <w:color w:val="auto"/>
          <w:sz w:val="32"/>
          <w:lang w:val="en-US" w:eastAsia="zh-CN"/>
        </w:rPr>
        <w:t>各类公务接待支出</w:t>
      </w:r>
      <w:r>
        <w:rPr>
          <w:rFonts w:hint="eastAsia" w:ascii="宋体" w:hAnsi="宋体" w:eastAsia="方正仿宋_GBK" w:cs="方正仿宋_GBK"/>
          <w:color w:val="auto"/>
          <w:sz w:val="32"/>
          <w:lang w:val="en-US" w:eastAsia="zh-CN"/>
        </w:rPr>
        <w:t>。费用支出较年初预算数</w:t>
      </w:r>
      <w:r>
        <w:rPr>
          <w:rFonts w:ascii="方正仿宋_GBK" w:hAnsi="方正仿宋_GBK" w:eastAsia="方正仿宋_GBK" w:cs="方正仿宋_GBK"/>
          <w:sz w:val="32"/>
          <w:szCs w:val="32"/>
          <w:shd w:val="clear" w:color="auto" w:fill="FFFFFF"/>
        </w:rPr>
        <w:t>减少0.67万元</w:t>
      </w:r>
      <w:r>
        <w:rPr>
          <w:rFonts w:hint="eastAsia" w:ascii="宋体" w:hAnsi="宋体" w:eastAsia="方正仿宋_GBK" w:cs="方正仿宋_GBK"/>
          <w:color w:val="auto"/>
          <w:sz w:val="32"/>
          <w:lang w:val="en-US" w:eastAsia="zh-CN"/>
        </w:rPr>
        <w:t>，较上年支出数</w:t>
      </w:r>
      <w:r>
        <w:rPr>
          <w:rFonts w:ascii="方正仿宋_GBK" w:hAnsi="方正仿宋_GBK" w:eastAsia="方正仿宋_GBK" w:cs="方正仿宋_GBK"/>
          <w:sz w:val="32"/>
          <w:szCs w:val="32"/>
          <w:shd w:val="clear" w:color="auto" w:fill="FFFFFF"/>
        </w:rPr>
        <w:t>增加1.28万元，增长2560%</w:t>
      </w:r>
      <w:r>
        <w:rPr>
          <w:rFonts w:hint="eastAsia" w:ascii="宋体" w:hAnsi="宋体" w:eastAsia="方正仿宋_GBK" w:cs="方正仿宋_GBK"/>
          <w:color w:val="auto"/>
          <w:sz w:val="32"/>
          <w:lang w:val="en-US" w:eastAsia="zh-CN"/>
        </w:rPr>
        <w:t>，主要原因是考察接待增多，费用增加。</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outlineLvl w:val="1"/>
        <w:rPr>
          <w:rFonts w:hint="eastAsia" w:ascii="宋体" w:hAnsi="宋体" w:eastAsia="方正楷体_GBK" w:cs="方正楷体_GBK"/>
        </w:rPr>
      </w:pPr>
      <w:r>
        <w:rPr>
          <w:rStyle w:val="14"/>
          <w:rFonts w:hint="eastAsia" w:ascii="宋体" w:hAnsi="宋体" w:eastAsia="方正楷体_GBK" w:cs="方正楷体_GBK"/>
          <w:b w:val="0"/>
          <w:bCs/>
          <w:kern w:val="2"/>
          <w:sz w:val="32"/>
          <w:szCs w:val="32"/>
          <w:shd w:val="clear" w:color="auto" w:fill="FFFFFF"/>
          <w:lang w:val="en-US" w:eastAsia="zh-CN" w:bidi="ar-SA"/>
        </w:rPr>
        <w:t>（三）“三公”经费实物量情况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2024年度本单位因公出国（境）共计0个团组，0人；公务用车购置0辆，公务车保有量为3辆；国内公务接待25批次160人，其中：国内外事接待0批次，0人；国（境）外公务接待0批次，0人。人均接待费83.3元，车均购置费0万元，车均维护费2.99万元。</w:t>
      </w:r>
    </w:p>
    <w:p>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left="0" w:right="0" w:rightChars="0" w:firstLine="640" w:firstLineChars="200"/>
        <w:jc w:val="left"/>
        <w:textAlignment w:val="auto"/>
        <w:outlineLvl w:val="0"/>
        <w:rPr>
          <w:rStyle w:val="14"/>
          <w:rFonts w:hint="eastAsia" w:ascii="宋体" w:hAnsi="宋体" w:eastAsia="方正黑体_GBK" w:cs="方正黑体_GBK"/>
          <w:b w:val="0"/>
          <w:sz w:val="32"/>
          <w:szCs w:val="32"/>
          <w:shd w:val="clear" w:color="auto" w:fill="FFFFFF"/>
        </w:rPr>
      </w:pPr>
      <w:r>
        <w:rPr>
          <w:rStyle w:val="14"/>
          <w:rFonts w:hint="eastAsia" w:ascii="宋体" w:hAnsi="宋体" w:eastAsia="方正黑体_GBK" w:cs="方正黑体_GBK"/>
          <w:b w:val="0"/>
          <w:sz w:val="32"/>
          <w:szCs w:val="32"/>
          <w:shd w:val="clear" w:color="auto" w:fill="FFFFFF"/>
          <w:lang w:val="en-US" w:eastAsia="zh-CN"/>
        </w:rPr>
        <w:t>四、</w:t>
      </w:r>
      <w:r>
        <w:rPr>
          <w:rStyle w:val="14"/>
          <w:rFonts w:hint="eastAsia" w:ascii="宋体" w:hAnsi="宋体" w:eastAsia="方正黑体_GBK" w:cs="方正黑体_GBK"/>
          <w:b w:val="0"/>
          <w:sz w:val="32"/>
          <w:szCs w:val="32"/>
          <w:shd w:val="clear" w:color="auto" w:fill="FFFFFF"/>
        </w:rPr>
        <w:t>其他需要说明的事项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outlineLvl w:val="1"/>
        <w:rPr>
          <w:rStyle w:val="14"/>
          <w:rFonts w:hint="default"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（一）财政拨款会议费和培训费情况</w:t>
      </w:r>
    </w:p>
    <w:p>
      <w:pPr>
        <w:pStyle w:val="5"/>
        <w:keepNext w:val="0"/>
        <w:keepLines w:val="0"/>
        <w:pageBreakBefore w:val="0"/>
        <w:kinsoku/>
        <w:wordWrap/>
        <w:overflowPunct/>
        <w:topLinePunct w:val="0"/>
        <w:autoSpaceDN/>
        <w:bidi w:val="0"/>
        <w:snapToGrid w:val="0"/>
        <w:spacing w:before="0" w:beforeAutospacing="0" w:after="0" w:afterAutospacing="0" w:line="579" w:lineRule="exact"/>
        <w:ind w:left="0" w:right="0"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2024</w:t>
      </w:r>
      <w:r>
        <w:rPr>
          <w:rFonts w:ascii="方正仿宋_GBK" w:hAnsi="方正仿宋_GBK" w:eastAsia="方正仿宋_GBK" w:cs="方正仿宋_GBK"/>
          <w:sz w:val="32"/>
          <w:szCs w:val="32"/>
          <w:shd w:val="clear" w:color="auto" w:fill="FFFFFF"/>
        </w:rPr>
        <w:t>年度会议费支出</w:t>
      </w:r>
      <w:r>
        <w:rPr>
          <w:rFonts w:ascii="方正仿宋_GBK" w:hAnsi="方正仿宋_GBK" w:eastAsia="方正仿宋_GBK" w:cs="方正仿宋_GBK"/>
          <w:sz w:val="32"/>
          <w:szCs w:val="32"/>
        </w:rPr>
        <w:t>0.87</w:t>
      </w:r>
      <w:r>
        <w:rPr>
          <w:rFonts w:ascii="方正仿宋_GBK" w:hAnsi="方正仿宋_GBK" w:eastAsia="方正仿宋_GBK" w:cs="方正仿宋_GBK"/>
          <w:sz w:val="32"/>
          <w:szCs w:val="32"/>
          <w:shd w:val="clear" w:color="auto" w:fill="FFFFFF"/>
        </w:rPr>
        <w:t>万元，与2023年度相比减少0.17万元，下降16.35%，主要原因是</w:t>
      </w:r>
      <w:r>
        <w:rPr>
          <w:rFonts w:hint="eastAsia" w:ascii="方正仿宋_GBK" w:hAnsi="方正仿宋_GBK" w:eastAsia="方正仿宋_GBK" w:cs="方正仿宋_GBK"/>
          <w:sz w:val="32"/>
          <w:szCs w:val="32"/>
          <w:shd w:val="clear" w:color="auto" w:fill="FFFFFF"/>
          <w:lang w:eastAsia="zh-CN"/>
        </w:rPr>
        <w:t>倡导节约，会议费用减少</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0.81</w:t>
      </w:r>
      <w:r>
        <w:rPr>
          <w:rFonts w:ascii="方正仿宋_GBK" w:hAnsi="方正仿宋_GBK" w:eastAsia="方正仿宋_GBK" w:cs="方正仿宋_GBK"/>
          <w:sz w:val="32"/>
          <w:szCs w:val="32"/>
          <w:shd w:val="clear" w:color="auto" w:fill="FFFFFF"/>
        </w:rPr>
        <w:t>万元，与2023年度相比减少0.99万元，下降55%</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非必要性培训减少</w:t>
      </w:r>
      <w:r>
        <w:rPr>
          <w:rFonts w:ascii="方正仿宋_GBK" w:hAnsi="方正仿宋_GBK" w:eastAsia="方正仿宋_GBK" w:cs="方正仿宋_GBK"/>
          <w:sz w:val="32"/>
          <w:szCs w:val="32"/>
          <w:shd w:val="clear" w:color="auto" w:fill="FFFFFF"/>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outlineLvl w:val="1"/>
        <w:rPr>
          <w:rStyle w:val="14"/>
          <w:rFonts w:hint="default"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（二）机关运行经费情况</w:t>
      </w:r>
    </w:p>
    <w:p>
      <w:pPr>
        <w:keepNext w:val="0"/>
        <w:keepLines w:val="0"/>
        <w:pageBreakBefore w:val="0"/>
        <w:kinsoku/>
        <w:wordWrap/>
        <w:overflowPunct/>
        <w:topLinePunct w:val="0"/>
        <w:autoSpaceDN/>
        <w:bidi w:val="0"/>
        <w:snapToGrid/>
        <w:spacing w:line="579" w:lineRule="exact"/>
        <w:ind w:left="0" w:right="0" w:firstLine="640" w:firstLineChars="200"/>
        <w:textAlignment w:val="auto"/>
        <w:rPr>
          <w:rFonts w:hint="eastAsia" w:ascii="宋体" w:hAnsi="宋体" w:eastAsia="方正仿宋_GBK" w:cs="方正仿宋_GBK"/>
          <w:color w:val="auto"/>
          <w:kern w:val="0"/>
          <w:sz w:val="32"/>
          <w:szCs w:val="32"/>
          <w:lang w:val="en-US" w:eastAsia="zh-CN"/>
        </w:rPr>
      </w:pPr>
      <w:r>
        <w:rPr>
          <w:rFonts w:hint="eastAsia" w:ascii="宋体" w:hAnsi="宋体" w:eastAsia="方正仿宋_GBK" w:cs="方正仿宋_GBK"/>
          <w:color w:val="auto"/>
          <w:kern w:val="0"/>
          <w:sz w:val="32"/>
          <w:szCs w:val="32"/>
        </w:rPr>
        <w:t>按照部门决算列报口径，我单位不在机关运行经费统计范围之内</w:t>
      </w:r>
      <w:r>
        <w:rPr>
          <w:rFonts w:hint="eastAsia" w:ascii="宋体" w:hAnsi="宋体" w:eastAsia="方正仿宋_GBK" w:cs="方正仿宋_GBK"/>
          <w:color w:val="auto"/>
          <w:kern w:val="0"/>
          <w:sz w:val="32"/>
          <w:szCs w:val="32"/>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（三）国有资产占用情况说明</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rPr>
        <w:t>截至202</w:t>
      </w:r>
      <w:r>
        <w:rPr>
          <w:rFonts w:hint="eastAsia" w:ascii="宋体" w:hAnsi="宋体" w:eastAsia="方正仿宋_GBK" w:cs="方正仿宋_GBK"/>
          <w:kern w:val="0"/>
          <w:sz w:val="32"/>
          <w:szCs w:val="32"/>
          <w:lang w:val="en-US" w:eastAsia="zh-CN"/>
        </w:rPr>
        <w:t>4</w:t>
      </w:r>
      <w:r>
        <w:rPr>
          <w:rFonts w:hint="eastAsia" w:ascii="宋体" w:hAnsi="宋体" w:eastAsia="方正仿宋_GBK" w:cs="方正仿宋_GBK"/>
          <w:kern w:val="0"/>
          <w:sz w:val="32"/>
          <w:szCs w:val="32"/>
        </w:rPr>
        <w:t>年12月31日，本</w:t>
      </w:r>
      <w:r>
        <w:rPr>
          <w:rFonts w:hint="eastAsia" w:ascii="宋体" w:hAnsi="宋体" w:eastAsia="方正仿宋_GBK" w:cs="方正仿宋_GBK"/>
          <w:kern w:val="0"/>
          <w:sz w:val="32"/>
          <w:szCs w:val="32"/>
          <w:lang w:eastAsia="zh-CN"/>
        </w:rPr>
        <w:t>单位</w:t>
      </w:r>
      <w:r>
        <w:rPr>
          <w:rFonts w:hint="eastAsia" w:ascii="宋体" w:hAnsi="宋体" w:eastAsia="方正仿宋_GBK" w:cs="方正仿宋_GBK"/>
          <w:kern w:val="0"/>
          <w:sz w:val="32"/>
          <w:szCs w:val="32"/>
        </w:rPr>
        <w:t>共有车辆</w:t>
      </w:r>
      <w:r>
        <w:rPr>
          <w:rFonts w:hint="eastAsia" w:ascii="宋体" w:hAnsi="宋体" w:eastAsia="方正仿宋_GBK" w:cs="方正仿宋_GBK"/>
          <w:kern w:val="0"/>
          <w:sz w:val="32"/>
          <w:szCs w:val="32"/>
          <w:lang w:val="en-US" w:eastAsia="zh-CN"/>
        </w:rPr>
        <w:t>3</w:t>
      </w:r>
      <w:r>
        <w:rPr>
          <w:rFonts w:hint="eastAsia" w:ascii="宋体" w:hAnsi="宋体" w:eastAsia="方正仿宋_GBK" w:cs="方正仿宋_GBK"/>
          <w:kern w:val="0"/>
          <w:sz w:val="32"/>
          <w:szCs w:val="32"/>
        </w:rPr>
        <w:t>辆。其中：副部（省）级及以上领导用车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辆，主要</w:t>
      </w:r>
      <w:r>
        <w:rPr>
          <w:rFonts w:hint="eastAsia" w:ascii="宋体" w:hAnsi="宋体" w:eastAsia="方正仿宋_GBK" w:cs="方正仿宋_GBK"/>
          <w:kern w:val="0"/>
          <w:sz w:val="32"/>
          <w:szCs w:val="32"/>
          <w:lang w:val="en-US" w:eastAsia="zh-CN"/>
        </w:rPr>
        <w:t>负责人</w:t>
      </w:r>
      <w:r>
        <w:rPr>
          <w:rFonts w:hint="eastAsia" w:ascii="宋体" w:hAnsi="宋体" w:eastAsia="方正仿宋_GBK" w:cs="方正仿宋_GBK"/>
          <w:kern w:val="0"/>
          <w:sz w:val="32"/>
          <w:szCs w:val="32"/>
        </w:rPr>
        <w:t>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辆，机要通信用车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辆，应急保障用车</w:t>
      </w:r>
      <w:r>
        <w:rPr>
          <w:rFonts w:hint="eastAsia" w:ascii="宋体" w:hAnsi="宋体" w:eastAsia="方正仿宋_GBK" w:cs="方正仿宋_GBK"/>
          <w:kern w:val="0"/>
          <w:sz w:val="32"/>
          <w:szCs w:val="32"/>
          <w:lang w:val="en-US" w:eastAsia="zh-CN"/>
        </w:rPr>
        <w:t>3</w:t>
      </w:r>
      <w:r>
        <w:rPr>
          <w:rFonts w:hint="eastAsia" w:ascii="宋体" w:hAnsi="宋体" w:eastAsia="方正仿宋_GBK" w:cs="方正仿宋_GBK"/>
          <w:kern w:val="0"/>
          <w:sz w:val="32"/>
          <w:szCs w:val="32"/>
        </w:rPr>
        <w:t>辆，执法执勤用车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辆，特种专业技术用车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辆，离退休干部</w:t>
      </w:r>
      <w:r>
        <w:rPr>
          <w:rFonts w:hint="eastAsia" w:ascii="宋体" w:hAnsi="宋体" w:eastAsia="方正仿宋_GBK" w:cs="方正仿宋_GBK"/>
          <w:kern w:val="0"/>
          <w:sz w:val="32"/>
          <w:szCs w:val="32"/>
          <w:lang w:val="en-US" w:eastAsia="zh-CN"/>
        </w:rPr>
        <w:t>服务</w:t>
      </w:r>
      <w:r>
        <w:rPr>
          <w:rFonts w:hint="eastAsia" w:ascii="宋体" w:hAnsi="宋体" w:eastAsia="方正仿宋_GBK" w:cs="方正仿宋_GBK"/>
          <w:kern w:val="0"/>
          <w:sz w:val="32"/>
          <w:szCs w:val="32"/>
        </w:rPr>
        <w:t>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辆，其他用车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辆。单价100万元（含）以上设备</w:t>
      </w:r>
      <w:r>
        <w:rPr>
          <w:rFonts w:hint="eastAsia" w:ascii="宋体" w:hAnsi="宋体" w:eastAsia="方正仿宋_GBK" w:cs="方正仿宋_GBK"/>
          <w:kern w:val="0"/>
          <w:sz w:val="32"/>
          <w:szCs w:val="32"/>
          <w:lang w:eastAsia="zh-CN"/>
        </w:rPr>
        <w:t>（</w:t>
      </w:r>
      <w:r>
        <w:rPr>
          <w:rFonts w:hint="eastAsia" w:ascii="宋体" w:hAnsi="宋体" w:eastAsia="方正仿宋_GBK" w:cs="方正仿宋_GBK"/>
          <w:kern w:val="0"/>
          <w:sz w:val="32"/>
          <w:szCs w:val="32"/>
          <w:lang w:val="en-US" w:eastAsia="zh-CN"/>
        </w:rPr>
        <w:t>不含车辆</w:t>
      </w:r>
      <w:r>
        <w:rPr>
          <w:rFonts w:hint="eastAsia" w:ascii="宋体" w:hAnsi="宋体" w:eastAsia="方正仿宋_GBK" w:cs="方正仿宋_GBK"/>
          <w:kern w:val="0"/>
          <w:sz w:val="32"/>
          <w:szCs w:val="32"/>
          <w:lang w:eastAsia="zh-CN"/>
        </w:rPr>
        <w:t>）</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台（套）。</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（四）政府采购支出说明</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color w:val="auto"/>
          <w:sz w:val="32"/>
          <w:lang w:val="en-US" w:eastAsia="zh-CN"/>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left"/>
        <w:textAlignment w:val="auto"/>
        <w:outlineLvl w:val="0"/>
        <w:rPr>
          <w:rFonts w:hint="eastAsia" w:ascii="宋体" w:hAnsi="宋体" w:eastAsia="方正黑体_GBK" w:cs="方正黑体_GBK"/>
          <w:b w:val="0"/>
          <w:bCs/>
          <w:sz w:val="32"/>
          <w:szCs w:val="32"/>
          <w:lang w:eastAsia="zh-CN"/>
        </w:rPr>
      </w:pPr>
      <w:r>
        <w:rPr>
          <w:rStyle w:val="8"/>
          <w:rFonts w:hint="eastAsia" w:ascii="宋体" w:hAnsi="宋体" w:eastAsia="方正黑体_GBK" w:cs="方正黑体_GBK"/>
          <w:b w:val="0"/>
          <w:bCs/>
          <w:sz w:val="32"/>
          <w:szCs w:val="32"/>
          <w:shd w:val="clear" w:color="auto" w:fill="FFFFFF"/>
        </w:rPr>
        <w:t>五、预算绩效管理情况</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right="0" w:firstLine="640" w:firstLineChars="200"/>
        <w:jc w:val="left"/>
        <w:textAlignment w:val="auto"/>
        <w:outlineLvl w:val="1"/>
        <w:rPr>
          <w:rFonts w:hint="eastAsia" w:ascii="宋体" w:hAnsi="宋体" w:eastAsia="方正楷体_GBK" w:cs="方正楷体_GBK"/>
        </w:rPr>
      </w:pPr>
      <w:r>
        <w:rPr>
          <w:rStyle w:val="14"/>
          <w:rFonts w:hint="eastAsia" w:ascii="宋体" w:hAnsi="宋体" w:eastAsia="方正楷体_GBK" w:cs="方正楷体_GBK"/>
          <w:b w:val="0"/>
          <w:bCs/>
          <w:kern w:val="2"/>
          <w:sz w:val="32"/>
          <w:szCs w:val="32"/>
          <w:shd w:val="clear" w:color="auto" w:fill="FFFFFF"/>
          <w:lang w:val="en-US" w:eastAsia="zh-CN" w:bidi="ar-SA"/>
        </w:rPr>
        <w:t>（一）预算绩效管理工作开展情况</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right="0" w:firstLine="640" w:firstLineChars="200"/>
        <w:jc w:val="left"/>
        <w:textAlignment w:val="auto"/>
        <w:rPr>
          <w:rFonts w:hint="eastAsia" w:ascii="宋体" w:hAnsi="宋体" w:eastAsia="方正仿宋_GBK" w:cs="方正仿宋_GBK"/>
        </w:rPr>
      </w:pPr>
      <w:r>
        <w:rPr>
          <w:rFonts w:hint="eastAsia" w:ascii="宋体" w:hAnsi="宋体" w:eastAsia="方正仿宋_GBK" w:cs="方正仿宋_GBK"/>
          <w:kern w:val="0"/>
          <w:sz w:val="32"/>
          <w:szCs w:val="32"/>
        </w:rPr>
        <w:t>根据预算绩效管理要求，我</w:t>
      </w:r>
      <w:r>
        <w:rPr>
          <w:rFonts w:hint="eastAsia" w:ascii="宋体" w:hAnsi="宋体" w:eastAsia="方正仿宋_GBK" w:cs="方正仿宋_GBK"/>
          <w:kern w:val="0"/>
          <w:sz w:val="32"/>
          <w:szCs w:val="32"/>
          <w:lang w:eastAsia="zh-CN"/>
        </w:rPr>
        <w:t>单位</w:t>
      </w:r>
      <w:r>
        <w:rPr>
          <w:rFonts w:hint="eastAsia" w:ascii="宋体" w:hAnsi="宋体" w:eastAsia="方正仿宋_GBK" w:cs="方正仿宋_GBK"/>
          <w:kern w:val="0"/>
          <w:sz w:val="32"/>
          <w:szCs w:val="32"/>
        </w:rPr>
        <w:t>对</w:t>
      </w:r>
      <w:r>
        <w:rPr>
          <w:rFonts w:hint="eastAsia" w:ascii="宋体" w:hAnsi="宋体" w:eastAsia="方正仿宋_GBK" w:cs="方正仿宋_GBK"/>
          <w:kern w:val="0"/>
          <w:sz w:val="32"/>
          <w:szCs w:val="32"/>
          <w:lang w:val="en-US" w:eastAsia="zh-CN"/>
        </w:rPr>
        <w:t>6</w:t>
      </w:r>
      <w:r>
        <w:rPr>
          <w:rFonts w:hint="eastAsia" w:ascii="宋体" w:hAnsi="宋体" w:eastAsia="方正仿宋_GBK" w:cs="方正仿宋_GBK"/>
          <w:kern w:val="0"/>
          <w:sz w:val="32"/>
          <w:szCs w:val="32"/>
        </w:rPr>
        <w:t>个项目开展了绩效自评，其中，以填报目标自评表形式开展自评</w:t>
      </w:r>
      <w:r>
        <w:rPr>
          <w:rFonts w:hint="eastAsia" w:ascii="宋体" w:hAnsi="宋体" w:eastAsia="方正仿宋_GBK" w:cs="方正仿宋_GBK"/>
          <w:kern w:val="0"/>
          <w:sz w:val="32"/>
          <w:szCs w:val="32"/>
          <w:lang w:val="en-US" w:eastAsia="zh-CN"/>
        </w:rPr>
        <w:t>6</w:t>
      </w:r>
      <w:r>
        <w:rPr>
          <w:rFonts w:hint="eastAsia" w:ascii="宋体" w:hAnsi="宋体" w:eastAsia="方正仿宋_GBK" w:cs="方正仿宋_GBK"/>
          <w:kern w:val="0"/>
          <w:sz w:val="32"/>
          <w:szCs w:val="32"/>
        </w:rPr>
        <w:t>项，涉及资金</w:t>
      </w:r>
      <w:r>
        <w:rPr>
          <w:rFonts w:hint="eastAsia" w:ascii="宋体" w:hAnsi="宋体" w:eastAsia="方正仿宋_GBK" w:cs="方正仿宋_GBK"/>
          <w:kern w:val="0"/>
          <w:sz w:val="32"/>
          <w:szCs w:val="32"/>
          <w:lang w:val="en-US" w:eastAsia="zh-CN"/>
        </w:rPr>
        <w:t>189.46</w:t>
      </w:r>
      <w:r>
        <w:rPr>
          <w:rFonts w:hint="eastAsia" w:ascii="宋体" w:hAnsi="宋体" w:eastAsia="方正仿宋_GBK" w:cs="方正仿宋_GBK"/>
          <w:kern w:val="0"/>
          <w:sz w:val="32"/>
          <w:szCs w:val="32"/>
        </w:rPr>
        <w:t>万元</w:t>
      </w:r>
      <w:r>
        <w:rPr>
          <w:rFonts w:hint="eastAsia" w:ascii="宋体" w:hAnsi="宋体" w:eastAsia="方正仿宋_GBK" w:cs="方正仿宋_GBK"/>
          <w:kern w:val="0"/>
          <w:sz w:val="32"/>
          <w:szCs w:val="32"/>
          <w:lang w:eastAsia="zh-CN"/>
        </w:rPr>
        <w:t>。</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right="0" w:firstLine="640" w:firstLineChars="200"/>
        <w:jc w:val="left"/>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（二）绩效自评结果</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right="0" w:firstLine="643" w:firstLineChars="200"/>
        <w:jc w:val="left"/>
        <w:textAlignment w:val="auto"/>
        <w:rPr>
          <w:rFonts w:hint="eastAsia" w:ascii="宋体" w:hAnsi="宋体" w:eastAsia="方正仿宋_GBK" w:cs="方正仿宋_GBK"/>
          <w:b/>
          <w:bCs/>
          <w:color w:val="auto"/>
          <w:sz w:val="32"/>
          <w:lang w:val="en-US" w:eastAsia="zh-CN"/>
        </w:rPr>
      </w:pPr>
      <w:r>
        <w:rPr>
          <w:rFonts w:hint="eastAsia" w:ascii="宋体" w:hAnsi="宋体" w:eastAsia="方正仿宋_GBK" w:cs="方正仿宋_GBK"/>
          <w:b/>
          <w:bCs/>
          <w:color w:val="auto"/>
          <w:sz w:val="32"/>
          <w:lang w:val="en-US" w:eastAsia="zh-CN"/>
        </w:rPr>
        <w:t>1.绩效目标自评表</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left="0" w:right="0" w:firstLine="640"/>
        <w:textAlignment w:val="auto"/>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rPr>
        <w:t>公开内容。详见表格。</w:t>
      </w:r>
    </w:p>
    <w:p>
      <w:pPr>
        <w:pStyle w:val="9"/>
        <w:keepNext w:val="0"/>
        <w:keepLines w:val="0"/>
        <w:pageBreakBefore w:val="0"/>
        <w:tabs>
          <w:tab w:val="center" w:pos="4153"/>
          <w:tab w:val="left" w:pos="7275"/>
        </w:tabs>
        <w:kinsoku/>
        <w:wordWrap/>
        <w:overflowPunct/>
        <w:topLinePunct w:val="0"/>
        <w:autoSpaceDN/>
        <w:bidi w:val="0"/>
        <w:snapToGrid/>
        <w:spacing w:line="579" w:lineRule="exact"/>
        <w:ind w:left="0" w:right="0" w:firstLine="0" w:firstLineChars="0"/>
        <w:jc w:val="center"/>
        <w:textAlignment w:val="auto"/>
        <w:rPr>
          <w:rFonts w:hint="eastAsia" w:ascii="方正黑体_GBK" w:hAnsi="方正黑体_GBK" w:eastAsia="方正黑体_GBK" w:cs="方正黑体_GBK"/>
          <w:b w:val="0"/>
          <w:bCs w:val="0"/>
          <w:color w:val="000000"/>
          <w:kern w:val="0"/>
          <w:sz w:val="36"/>
          <w:szCs w:val="36"/>
        </w:rPr>
      </w:pPr>
      <w:r>
        <w:rPr>
          <w:rFonts w:hint="eastAsia" w:ascii="方正黑体_GBK" w:hAnsi="方正黑体_GBK" w:eastAsia="方正黑体_GBK" w:cs="方正黑体_GBK"/>
          <w:b w:val="0"/>
          <w:bCs w:val="0"/>
          <w:color w:val="000000"/>
          <w:kern w:val="0"/>
          <w:sz w:val="36"/>
          <w:szCs w:val="36"/>
          <w:lang w:val="en-US" w:eastAsia="zh-CN"/>
        </w:rPr>
        <w:t>2024年度项目</w:t>
      </w:r>
      <w:r>
        <w:rPr>
          <w:rFonts w:hint="eastAsia" w:ascii="方正黑体_GBK" w:hAnsi="方正黑体_GBK" w:eastAsia="方正黑体_GBK" w:cs="方正黑体_GBK"/>
          <w:b w:val="0"/>
          <w:bCs w:val="0"/>
          <w:color w:val="000000"/>
          <w:kern w:val="0"/>
          <w:sz w:val="36"/>
          <w:szCs w:val="36"/>
        </w:rPr>
        <w:t>绩效自评表</w:t>
      </w:r>
    </w:p>
    <w:tbl>
      <w:tblPr>
        <w:tblStyle w:val="6"/>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756"/>
        <w:gridCol w:w="708"/>
        <w:gridCol w:w="709"/>
        <w:gridCol w:w="366"/>
        <w:gridCol w:w="478"/>
        <w:gridCol w:w="684"/>
        <w:gridCol w:w="288"/>
        <w:gridCol w:w="948"/>
        <w:gridCol w:w="1080"/>
        <w:gridCol w:w="1092"/>
        <w:gridCol w:w="938"/>
        <w:gridCol w:w="346"/>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名称</w:t>
            </w:r>
          </w:p>
        </w:tc>
        <w:tc>
          <w:tcPr>
            <w:tcW w:w="3701" w:type="dxa"/>
            <w:gridSpan w:val="6"/>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聘请护林员</w:t>
            </w:r>
          </w:p>
        </w:tc>
        <w:tc>
          <w:tcPr>
            <w:tcW w:w="1236"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自评</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总分</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4348" w:type="dxa"/>
            <w:gridSpan w:val="5"/>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项目</w:t>
            </w:r>
            <w:r>
              <w:rPr>
                <w:rFonts w:hint="eastAsia" w:ascii="宋体" w:hAnsi="宋体" w:eastAsia="方正仿宋_GBK" w:cs="方正仿宋_GBK"/>
                <w:color w:val="000000"/>
                <w:kern w:val="0"/>
                <w:sz w:val="24"/>
                <w:szCs w:val="24"/>
              </w:rPr>
              <w:t>主管</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部门</w:t>
            </w:r>
          </w:p>
        </w:tc>
        <w:tc>
          <w:tcPr>
            <w:tcW w:w="146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重庆市江津区林业局</w:t>
            </w:r>
          </w:p>
        </w:tc>
        <w:tc>
          <w:tcPr>
            <w:tcW w:w="1075"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财政归口科室</w:t>
            </w:r>
          </w:p>
        </w:tc>
        <w:tc>
          <w:tcPr>
            <w:tcW w:w="116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农业农村科</w:t>
            </w:r>
          </w:p>
        </w:tc>
        <w:tc>
          <w:tcPr>
            <w:tcW w:w="1236"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联系人</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谢寒冰</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联系电话</w:t>
            </w:r>
          </w:p>
        </w:tc>
        <w:tc>
          <w:tcPr>
            <w:tcW w:w="2176" w:type="dxa"/>
            <w:gridSpan w:val="3"/>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023-</w:t>
            </w:r>
            <w:bookmarkStart w:id="0" w:name="_GoBack"/>
            <w:bookmarkEnd w:id="0"/>
            <w:r>
              <w:rPr>
                <w:rFonts w:hint="eastAsia" w:ascii="宋体" w:hAnsi="宋体" w:eastAsia="方正仿宋_GBK" w:cs="方正仿宋_GBK"/>
                <w:color w:val="000000"/>
                <w:kern w:val="0"/>
                <w:sz w:val="24"/>
                <w:szCs w:val="24"/>
                <w:lang w:val="en-US" w:eastAsia="zh-CN"/>
              </w:rPr>
              <w:t>47528265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textDirection w:val="tbRlV"/>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项目资金（万元）</w:t>
            </w:r>
          </w:p>
        </w:tc>
        <w:tc>
          <w:tcPr>
            <w:tcW w:w="1464" w:type="dxa"/>
            <w:gridSpan w:val="2"/>
            <w:vMerge w:val="restart"/>
            <w:tcBorders>
              <w:tl2br w:val="nil"/>
              <w:tr2bl w:val="nil"/>
            </w:tcBorders>
            <w:noWrap w:val="0"/>
            <w:vAlign w:val="center"/>
          </w:tcPr>
          <w:p>
            <w:pPr>
              <w:keepNext w:val="0"/>
              <w:keepLines w:val="0"/>
              <w:pageBreakBefore w:val="0"/>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年度总金额</w:t>
            </w:r>
          </w:p>
        </w:tc>
        <w:tc>
          <w:tcPr>
            <w:tcW w:w="1075"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年初</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预算数</w:t>
            </w:r>
          </w:p>
        </w:tc>
        <w:tc>
          <w:tcPr>
            <w:tcW w:w="116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全年（调整）预算数</w:t>
            </w:r>
          </w:p>
        </w:tc>
        <w:tc>
          <w:tcPr>
            <w:tcW w:w="2316" w:type="dxa"/>
            <w:gridSpan w:val="3"/>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全年执行数</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93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权重</w:t>
            </w:r>
          </w:p>
        </w:tc>
        <w:tc>
          <w:tcPr>
            <w:tcW w:w="1238"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得分</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宋体" w:hAnsi="宋体" w:eastAsia="方正仿宋_GBK" w:cs="方正仿宋_GBK"/>
                <w:color w:val="000000"/>
                <w:kern w:val="0"/>
                <w:sz w:val="24"/>
                <w:szCs w:val="24"/>
              </w:rPr>
            </w:pPr>
          </w:p>
        </w:tc>
        <w:tc>
          <w:tcPr>
            <w:tcW w:w="1464" w:type="dxa"/>
            <w:gridSpan w:val="2"/>
            <w:vMerge w:val="continue"/>
            <w:tcBorders>
              <w:tl2br w:val="nil"/>
              <w:tr2bl w:val="nil"/>
            </w:tcBorders>
            <w:noWrap w:val="0"/>
            <w:vAlign w:val="center"/>
          </w:tcPr>
          <w:p>
            <w:pPr>
              <w:keepNext w:val="0"/>
              <w:keepLines w:val="0"/>
              <w:pageBreakBefore w:val="0"/>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p>
        </w:tc>
        <w:tc>
          <w:tcPr>
            <w:tcW w:w="1075"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101.2</w:t>
            </w:r>
          </w:p>
        </w:tc>
        <w:tc>
          <w:tcPr>
            <w:tcW w:w="116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99.94</w:t>
            </w:r>
          </w:p>
        </w:tc>
        <w:tc>
          <w:tcPr>
            <w:tcW w:w="2316" w:type="dxa"/>
            <w:gridSpan w:val="3"/>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99.94</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100</w:t>
            </w:r>
          </w:p>
        </w:tc>
        <w:tc>
          <w:tcPr>
            <w:tcW w:w="93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10</w:t>
            </w:r>
          </w:p>
        </w:tc>
        <w:tc>
          <w:tcPr>
            <w:tcW w:w="1238"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宋体" w:hAnsi="宋体" w:eastAsia="方正仿宋_GBK" w:cs="方正仿宋_GBK"/>
                <w:color w:val="000000"/>
                <w:kern w:val="0"/>
                <w:sz w:val="24"/>
                <w:szCs w:val="24"/>
              </w:rPr>
            </w:pPr>
          </w:p>
        </w:tc>
        <w:tc>
          <w:tcPr>
            <w:tcW w:w="146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其中：</w:t>
            </w:r>
          </w:p>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财政拨款</w:t>
            </w:r>
          </w:p>
        </w:tc>
        <w:tc>
          <w:tcPr>
            <w:tcW w:w="1075"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101.2</w:t>
            </w:r>
          </w:p>
        </w:tc>
        <w:tc>
          <w:tcPr>
            <w:tcW w:w="116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99.94</w:t>
            </w:r>
          </w:p>
        </w:tc>
        <w:tc>
          <w:tcPr>
            <w:tcW w:w="2316" w:type="dxa"/>
            <w:gridSpan w:val="3"/>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99.94</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方正仿宋_GBK" w:hAnsi="方正仿宋_GBK" w:eastAsia="方正仿宋_GBK" w:cs="方正仿宋_GBK"/>
                <w:color w:val="000000"/>
                <w:kern w:val="0"/>
                <w:sz w:val="24"/>
                <w:szCs w:val="24"/>
              </w:rPr>
            </w:pPr>
          </w:p>
        </w:tc>
        <w:tc>
          <w:tcPr>
            <w:tcW w:w="93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方正仿宋_GBK" w:hAnsi="方正仿宋_GBK" w:eastAsia="方正仿宋_GBK" w:cs="方正仿宋_GBK"/>
                <w:color w:val="000000"/>
                <w:kern w:val="0"/>
                <w:sz w:val="24"/>
                <w:szCs w:val="24"/>
              </w:rPr>
            </w:pPr>
          </w:p>
        </w:tc>
        <w:tc>
          <w:tcPr>
            <w:tcW w:w="1238"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方正仿宋_GBK" w:hAnsi="方正仿宋_GBK"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当年绩效目标</w:t>
            </w:r>
          </w:p>
        </w:tc>
        <w:tc>
          <w:tcPr>
            <w:tcW w:w="3017" w:type="dxa"/>
            <w:gridSpan w:val="5"/>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年初绩效目标</w:t>
            </w:r>
          </w:p>
        </w:tc>
        <w:tc>
          <w:tcPr>
            <w:tcW w:w="3000" w:type="dxa"/>
            <w:gridSpan w:val="4"/>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全年（调整）绩效目标</w:t>
            </w:r>
          </w:p>
        </w:tc>
        <w:tc>
          <w:tcPr>
            <w:tcW w:w="3268" w:type="dxa"/>
            <w:gridSpan w:val="4"/>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全年目标实际完成情况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宋体" w:hAnsi="宋体" w:eastAsia="方正仿宋_GBK" w:cs="方正仿宋_GBK"/>
                <w:color w:val="000000"/>
                <w:kern w:val="0"/>
                <w:sz w:val="24"/>
                <w:szCs w:val="24"/>
              </w:rPr>
            </w:pPr>
          </w:p>
        </w:tc>
        <w:tc>
          <w:tcPr>
            <w:tcW w:w="3017" w:type="dxa"/>
            <w:gridSpan w:val="5"/>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sz w:val="24"/>
                <w:szCs w:val="24"/>
              </w:rPr>
              <w:t>聘请20名护林员，增加管护力度，切实保护森林资源。</w:t>
            </w:r>
          </w:p>
        </w:tc>
        <w:tc>
          <w:tcPr>
            <w:tcW w:w="3000" w:type="dxa"/>
            <w:gridSpan w:val="4"/>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聘请20名护林员，增加管护力度，切实保护森林资源。</w:t>
            </w:r>
          </w:p>
        </w:tc>
        <w:tc>
          <w:tcPr>
            <w:tcW w:w="3268" w:type="dxa"/>
            <w:gridSpan w:val="4"/>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完成了聘请护林员任务，增加了管护力度，提升了国有林场管护能力，切实保护了森林资源。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textDirection w:val="tbRlV"/>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绩效指标</w:t>
            </w: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名称</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计量</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单位</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性质</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值</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完成值</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偏离度（%）</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得分</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系数</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权重</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128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指标得分</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聘请护林人员数量</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个</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20</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22</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10</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100</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20</w:t>
            </w:r>
          </w:p>
        </w:tc>
        <w:tc>
          <w:tcPr>
            <w:tcW w:w="128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20</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宋体" w:hAnsi="宋体"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服务质量达标率</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95</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95</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0</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100</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10</w:t>
            </w:r>
          </w:p>
        </w:tc>
        <w:tc>
          <w:tcPr>
            <w:tcW w:w="128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10</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宋体" w:hAnsi="宋体"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购买服务完成率</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95</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95</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0</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100</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10</w:t>
            </w:r>
          </w:p>
        </w:tc>
        <w:tc>
          <w:tcPr>
            <w:tcW w:w="128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10</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宋体" w:hAnsi="宋体"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提供就业岗位数</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个</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20</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22</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10</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10</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20</w:t>
            </w:r>
          </w:p>
        </w:tc>
        <w:tc>
          <w:tcPr>
            <w:tcW w:w="128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20</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宋体" w:hAnsi="宋体"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服务对象满意度指标</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90</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90</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0</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100</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10</w:t>
            </w:r>
          </w:p>
        </w:tc>
        <w:tc>
          <w:tcPr>
            <w:tcW w:w="128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10</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宋体" w:hAnsi="宋体"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护林人员人均聘请成本</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元/人年</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54000</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46000</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14.81</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100</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20</w:t>
            </w:r>
          </w:p>
        </w:tc>
        <w:tc>
          <w:tcPr>
            <w:tcW w:w="128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20</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宋体" w:hAnsi="宋体" w:eastAsia="方正仿宋_GBK" w:cs="方正仿宋_GBK"/>
                <w:color w:val="000000"/>
                <w:kern w:val="0"/>
                <w:sz w:val="24"/>
                <w:szCs w:val="24"/>
              </w:rPr>
            </w:pPr>
          </w:p>
        </w:tc>
      </w:tr>
    </w:tbl>
    <w:p>
      <w:pPr>
        <w:pStyle w:val="9"/>
        <w:keepNext w:val="0"/>
        <w:keepLines w:val="0"/>
        <w:pageBreakBefore w:val="0"/>
        <w:widowControl w:val="0"/>
        <w:numPr>
          <w:ilvl w:val="0"/>
          <w:numId w:val="0"/>
        </w:numPr>
        <w:tabs>
          <w:tab w:val="center" w:pos="4153"/>
          <w:tab w:val="left" w:pos="7275"/>
        </w:tabs>
        <w:kinsoku/>
        <w:wordWrap/>
        <w:overflowPunct/>
        <w:topLinePunct w:val="0"/>
        <w:autoSpaceDE/>
        <w:autoSpaceDN/>
        <w:bidi w:val="0"/>
        <w:adjustRightInd/>
        <w:snapToGrid/>
        <w:spacing w:line="579" w:lineRule="exact"/>
        <w:ind w:left="0" w:right="0" w:firstLine="643" w:firstLineChars="200"/>
        <w:textAlignment w:val="auto"/>
        <w:rPr>
          <w:rFonts w:hint="eastAsia" w:ascii="宋体" w:hAnsi="宋体" w:eastAsia="方正仿宋_GBK" w:cs="方正仿宋_GBK"/>
          <w:b/>
          <w:bCs w:val="0"/>
          <w:kern w:val="0"/>
          <w:sz w:val="32"/>
          <w:szCs w:val="32"/>
        </w:rPr>
      </w:pPr>
      <w:r>
        <w:rPr>
          <w:rFonts w:hint="eastAsia" w:ascii="宋体" w:hAnsi="宋体" w:eastAsia="方正仿宋_GBK" w:cs="方正仿宋_GBK"/>
          <w:b/>
          <w:bCs w:val="0"/>
          <w:kern w:val="0"/>
          <w:sz w:val="32"/>
          <w:szCs w:val="32"/>
          <w:lang w:val="en-US" w:eastAsia="zh-CN"/>
        </w:rPr>
        <w:t>2.</w:t>
      </w:r>
      <w:r>
        <w:rPr>
          <w:rFonts w:hint="eastAsia" w:ascii="宋体" w:hAnsi="宋体" w:eastAsia="方正仿宋_GBK" w:cs="方正仿宋_GBK"/>
          <w:b/>
          <w:bCs w:val="0"/>
          <w:kern w:val="0"/>
          <w:sz w:val="32"/>
          <w:szCs w:val="32"/>
        </w:rPr>
        <w:t>绩效自评报告或案例</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left="0" w:right="0" w:firstLine="640"/>
        <w:textAlignment w:val="auto"/>
        <w:rPr>
          <w:rFonts w:hint="eastAsia" w:ascii="宋体" w:hAnsi="宋体" w:eastAsia="方正仿宋_GBK" w:cs="方正仿宋_GBK"/>
          <w:color w:val="auto"/>
          <w:kern w:val="0"/>
          <w:sz w:val="32"/>
          <w:szCs w:val="32"/>
          <w:lang w:eastAsia="zh-CN"/>
        </w:rPr>
      </w:pPr>
      <w:r>
        <w:rPr>
          <w:rFonts w:hint="eastAsia" w:ascii="宋体" w:hAnsi="宋体" w:eastAsia="方正仿宋_GBK" w:cs="方正仿宋_GBK"/>
          <w:color w:val="auto"/>
          <w:kern w:val="0"/>
          <w:sz w:val="32"/>
          <w:szCs w:val="32"/>
          <w:lang w:val="en-US" w:eastAsia="zh-CN"/>
        </w:rPr>
        <w:t>本单位无此事项。</w:t>
      </w:r>
    </w:p>
    <w:p>
      <w:pPr>
        <w:pStyle w:val="9"/>
        <w:keepNext w:val="0"/>
        <w:keepLines w:val="0"/>
        <w:pageBreakBefore w:val="0"/>
        <w:widowControl w:val="0"/>
        <w:numPr>
          <w:ilvl w:val="0"/>
          <w:numId w:val="0"/>
        </w:numPr>
        <w:tabs>
          <w:tab w:val="center" w:pos="4153"/>
          <w:tab w:val="left" w:pos="7275"/>
        </w:tabs>
        <w:kinsoku/>
        <w:wordWrap/>
        <w:overflowPunct/>
        <w:topLinePunct w:val="0"/>
        <w:autoSpaceDE/>
        <w:autoSpaceDN/>
        <w:bidi w:val="0"/>
        <w:adjustRightInd/>
        <w:snapToGrid/>
        <w:spacing w:line="579" w:lineRule="exact"/>
        <w:ind w:left="0" w:right="0" w:firstLine="643" w:firstLineChars="200"/>
        <w:textAlignment w:val="auto"/>
        <w:rPr>
          <w:rFonts w:hint="eastAsia" w:ascii="宋体" w:hAnsi="宋体" w:eastAsia="方正仿宋_GBK" w:cs="方正仿宋_GBK"/>
          <w:b/>
          <w:bCs/>
          <w:color w:val="000000"/>
          <w:kern w:val="0"/>
          <w:sz w:val="32"/>
          <w:szCs w:val="32"/>
        </w:rPr>
      </w:pPr>
      <w:r>
        <w:rPr>
          <w:rFonts w:hint="eastAsia" w:ascii="宋体" w:hAnsi="宋体" w:eastAsia="方正仿宋_GBK" w:cs="方正仿宋_GBK"/>
          <w:b/>
          <w:bCs/>
          <w:color w:val="000000"/>
          <w:kern w:val="0"/>
          <w:sz w:val="32"/>
          <w:szCs w:val="32"/>
          <w:lang w:val="en-US" w:eastAsia="zh-CN"/>
        </w:rPr>
        <w:t>3.</w:t>
      </w:r>
      <w:r>
        <w:rPr>
          <w:rFonts w:hint="eastAsia" w:ascii="宋体" w:hAnsi="宋体" w:eastAsia="方正仿宋_GBK" w:cs="方正仿宋_GBK"/>
          <w:b/>
          <w:bCs/>
          <w:color w:val="000000"/>
          <w:kern w:val="0"/>
          <w:sz w:val="32"/>
          <w:szCs w:val="32"/>
        </w:rPr>
        <w:t>关于绩效自评结果的说明</w:t>
      </w:r>
    </w:p>
    <w:p>
      <w:pPr>
        <w:pStyle w:val="9"/>
        <w:keepNext w:val="0"/>
        <w:keepLines w:val="0"/>
        <w:pageBreakBefore w:val="0"/>
        <w:tabs>
          <w:tab w:val="center" w:pos="4153"/>
          <w:tab w:val="left" w:pos="7275"/>
        </w:tabs>
        <w:kinsoku/>
        <w:wordWrap/>
        <w:overflowPunct/>
        <w:topLinePunct w:val="0"/>
        <w:autoSpaceDN/>
        <w:bidi w:val="0"/>
        <w:snapToGrid/>
        <w:spacing w:beforeAutospacing="0" w:afterAutospacing="0" w:line="579" w:lineRule="exact"/>
        <w:ind w:left="0" w:right="0" w:firstLine="64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lang w:val="en-US" w:eastAsia="zh-CN"/>
        </w:rPr>
        <w:t>本单位2024</w:t>
      </w:r>
      <w:r>
        <w:rPr>
          <w:rFonts w:hint="eastAsia" w:ascii="Times New Roman" w:hAnsi="Times New Roman" w:eastAsia="方正仿宋_GBK" w:cs="方正仿宋_GBK"/>
          <w:kern w:val="0"/>
          <w:sz w:val="32"/>
          <w:szCs w:val="32"/>
        </w:rPr>
        <w:t>年度绩效目标</w:t>
      </w:r>
      <w:r>
        <w:rPr>
          <w:rFonts w:hint="eastAsia" w:ascii="Times New Roman" w:hAnsi="Times New Roman" w:eastAsia="方正仿宋_GBK" w:cs="方正仿宋_GBK"/>
          <w:kern w:val="0"/>
          <w:sz w:val="32"/>
          <w:szCs w:val="32"/>
          <w:lang w:eastAsia="zh-CN"/>
        </w:rPr>
        <w:t>已完成</w:t>
      </w:r>
      <w:r>
        <w:rPr>
          <w:rFonts w:hint="eastAsia" w:ascii="Times New Roman" w:hAnsi="Times New Roman" w:eastAsia="方正仿宋_GBK" w:cs="方正仿宋_GBK"/>
          <w:kern w:val="0"/>
          <w:sz w:val="32"/>
          <w:szCs w:val="32"/>
        </w:rPr>
        <w:t>。</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left="0" w:right="0" w:firstLine="640"/>
        <w:textAlignment w:val="auto"/>
        <w:outlineLvl w:val="1"/>
        <w:rPr>
          <w:rFonts w:hint="eastAsia" w:ascii="宋体" w:hAnsi="宋体" w:eastAsia="方正楷体_GBK" w:cs="方正楷体_GBK"/>
          <w:color w:val="333333"/>
          <w:sz w:val="32"/>
          <w:szCs w:val="32"/>
        </w:rPr>
      </w:pPr>
      <w:r>
        <w:rPr>
          <w:rFonts w:hint="eastAsia" w:ascii="宋体" w:hAnsi="宋体" w:eastAsia="方正楷体_GBK" w:cs="方正楷体_GBK"/>
          <w:color w:val="333333"/>
          <w:sz w:val="32"/>
          <w:szCs w:val="32"/>
        </w:rPr>
        <w:t>（三）重点绩效评价结果</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left="0" w:right="0" w:firstLine="640"/>
        <w:textAlignment w:val="auto"/>
        <w:rPr>
          <w:rFonts w:hint="eastAsia" w:ascii="宋体" w:hAnsi="宋体" w:eastAsia="方正仿宋_GBK" w:cs="方正仿宋_GBK"/>
          <w:kern w:val="0"/>
          <w:sz w:val="32"/>
          <w:szCs w:val="32"/>
          <w:lang w:eastAsia="zh-CN"/>
        </w:rPr>
      </w:pPr>
      <w:r>
        <w:rPr>
          <w:rFonts w:hint="eastAsia" w:ascii="宋体" w:hAnsi="宋体" w:eastAsia="方正仿宋_GBK" w:cs="方正仿宋_GBK"/>
          <w:kern w:val="0"/>
          <w:sz w:val="32"/>
          <w:szCs w:val="32"/>
          <w:lang w:val="en-US" w:eastAsia="zh-CN"/>
        </w:rPr>
        <w:t>本单位无此事项。</w:t>
      </w:r>
    </w:p>
    <w:p>
      <w:pPr>
        <w:pStyle w:val="9"/>
        <w:keepNext w:val="0"/>
        <w:keepLines w:val="0"/>
        <w:pageBreakBefore w:val="0"/>
        <w:widowControl w:val="0"/>
        <w:numPr>
          <w:ilvl w:val="0"/>
          <w:numId w:val="0"/>
        </w:numPr>
        <w:tabs>
          <w:tab w:val="center" w:pos="4153"/>
          <w:tab w:val="left" w:pos="7275"/>
        </w:tabs>
        <w:kinsoku/>
        <w:wordWrap/>
        <w:overflowPunct/>
        <w:topLinePunct w:val="0"/>
        <w:autoSpaceDE/>
        <w:autoSpaceDN/>
        <w:bidi w:val="0"/>
        <w:adjustRightInd/>
        <w:snapToGrid/>
        <w:spacing w:line="579" w:lineRule="exact"/>
        <w:ind w:left="0" w:right="0" w:firstLine="640" w:firstLineChars="20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lang w:eastAsia="zh-CN"/>
        </w:rPr>
        <w:t>六、</w:t>
      </w:r>
      <w:r>
        <w:rPr>
          <w:rFonts w:hint="eastAsia" w:ascii="宋体" w:hAnsi="宋体" w:eastAsia="方正黑体_GBK" w:cs="方正黑体_GBK"/>
          <w:sz w:val="32"/>
          <w:szCs w:val="32"/>
        </w:rPr>
        <w:t>专业名词解释</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（一）财政拨款收入：指本年度从本级财政部门取得的财政拨款，包括一般公共预算财政拨款和政府性基金预算财政拨款。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（二）事业收入：指事业单位开展专业业务活动及其辅助活动取得的现金流入；事业单位收到的财政专户实际核拨的教育收费等资金在此反映。</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三</w:t>
      </w:r>
      <w:r>
        <w:rPr>
          <w:rFonts w:hint="eastAsia" w:ascii="宋体" w:hAnsi="宋体" w:eastAsia="方正仿宋_GBK" w:cs="方正仿宋_GBK"/>
          <w:sz w:val="32"/>
          <w:szCs w:val="32"/>
        </w:rPr>
        <w:t>）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四</w:t>
      </w:r>
      <w:r>
        <w:rPr>
          <w:rFonts w:hint="eastAsia" w:ascii="宋体" w:hAnsi="宋体" w:eastAsia="方正仿宋_GBK" w:cs="方正仿宋_GBK"/>
          <w:sz w:val="32"/>
          <w:szCs w:val="32"/>
        </w:rPr>
        <w:t>）使用非财政拨款结余：指单位在当年的“财政拨款收入”、“事业收入”、“经营收入”、“其他收入”等不足以安排当年支出的情况下，使用以前年度积累的非财政拨款结余弥补本年度收支缺口的资金。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五</w:t>
      </w:r>
      <w:r>
        <w:rPr>
          <w:rFonts w:hint="eastAsia" w:ascii="宋体" w:hAnsi="宋体" w:eastAsia="方正仿宋_GBK" w:cs="方正仿宋_GBK"/>
          <w:sz w:val="32"/>
          <w:szCs w:val="32"/>
        </w:rPr>
        <w:t>）年初结转和结余：指单位上年结转本年使用的基本支出结转、项目支出结转和结余、经营结余。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六</w:t>
      </w:r>
      <w:r>
        <w:rPr>
          <w:rFonts w:hint="eastAsia" w:ascii="宋体" w:hAnsi="宋体" w:eastAsia="方正仿宋_GBK" w:cs="方正仿宋_GBK"/>
          <w:sz w:val="32"/>
          <w:szCs w:val="32"/>
        </w:rPr>
        <w:t>）结余分配：指单位按照国家有关规定，缴纳所得税、提取专用基金、转入非财政拨款结余等当年结余的分配情况。</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七</w:t>
      </w:r>
      <w:r>
        <w:rPr>
          <w:rFonts w:hint="eastAsia" w:ascii="宋体" w:hAnsi="宋体" w:eastAsia="方正仿宋_GBK" w:cs="方正仿宋_GBK"/>
          <w:sz w:val="32"/>
          <w:szCs w:val="32"/>
        </w:rPr>
        <w:t>）年末结转和结余：指单位结转下年的基本支出结转、项目支出结转和结余、经营结余。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八</w:t>
      </w:r>
      <w:r>
        <w:rPr>
          <w:rFonts w:hint="eastAsia" w:ascii="宋体" w:hAnsi="宋体" w:eastAsia="方正仿宋_GBK" w:cs="方正仿宋_GBK"/>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九</w:t>
      </w:r>
      <w:r>
        <w:rPr>
          <w:rFonts w:hint="eastAsia" w:ascii="宋体" w:hAnsi="宋体" w:eastAsia="方正仿宋_GBK" w:cs="方正仿宋_GBK"/>
          <w:sz w:val="32"/>
          <w:szCs w:val="32"/>
        </w:rPr>
        <w:t>）项目支出：指在基本支出之外为完成特定行政任务和事业发展目标所发生的支出。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一</w:t>
      </w:r>
      <w:r>
        <w:rPr>
          <w:rFonts w:hint="eastAsia" w:ascii="宋体" w:hAnsi="宋体" w:eastAsia="方正仿宋_GBK" w:cs="方正仿宋_GBK"/>
          <w:sz w:val="32"/>
          <w:szCs w:val="32"/>
        </w:rPr>
        <w:t>）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二</w:t>
      </w:r>
      <w:r>
        <w:rPr>
          <w:rFonts w:hint="eastAsia" w:ascii="宋体" w:hAnsi="宋体" w:eastAsia="方正仿宋_GBK" w:cs="方正仿宋_GBK"/>
          <w:sz w:val="32"/>
          <w:szCs w:val="32"/>
        </w:rPr>
        <w:t>）工资福利支出（支出经济分类科目类级）：反映单位开支的在职职工和编制外长期聘用人员的各类劳动报酬，以及为上述人员缴纳的各项社会保险费等。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三</w:t>
      </w:r>
      <w:r>
        <w:rPr>
          <w:rFonts w:hint="eastAsia" w:ascii="宋体" w:hAnsi="宋体" w:eastAsia="方正仿宋_GBK" w:cs="方正仿宋_GBK"/>
          <w:sz w:val="32"/>
          <w:szCs w:val="32"/>
        </w:rPr>
        <w:t>）商品和服务支出（支出经济分类科目类级）：反映单位购买商品和服务的支出（不包括用于购置固定资产的支出、战略性和应急储备支出）。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四</w:t>
      </w:r>
      <w:r>
        <w:rPr>
          <w:rFonts w:hint="eastAsia" w:ascii="宋体" w:hAnsi="宋体" w:eastAsia="方正仿宋_GBK" w:cs="方正仿宋_GBK"/>
          <w:sz w:val="32"/>
          <w:szCs w:val="32"/>
        </w:rPr>
        <w:t>）对个人和家庭的补助（支出经济分类科目类级）：反映用于对个人和家庭的补助支出。</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left="0" w:right="0" w:firstLine="64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五</w:t>
      </w:r>
      <w:r>
        <w:rPr>
          <w:rFonts w:hint="eastAsia" w:ascii="宋体" w:hAnsi="宋体" w:eastAsia="方正仿宋_GBK" w:cs="方正仿宋_GBK"/>
          <w:sz w:val="32"/>
          <w:szCs w:val="32"/>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left="0" w:right="0"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七、决算公开联系方式</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本单位决算公开信息反馈和联系方式：</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宋体" w:hAnsi="宋体" w:eastAsia="方正仿宋_GBK" w:cs="方正仿宋_GBK"/>
          <w:sz w:val="32"/>
          <w:szCs w:val="32"/>
          <w:lang w:val="en-US"/>
        </w:rPr>
      </w:pPr>
      <w:r>
        <w:rPr>
          <w:rFonts w:hint="eastAsia" w:ascii="宋体" w:hAnsi="宋体" w:eastAsia="方正仿宋_GBK" w:cs="方正仿宋_GBK"/>
          <w:sz w:val="32"/>
          <w:szCs w:val="32"/>
          <w:lang w:val="en-US" w:eastAsia="zh-CN"/>
        </w:rPr>
        <w:t>联系人：唐小波</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联系电话：023-47528265</w:t>
      </w:r>
    </w:p>
    <w:sectPr>
      <w:footerReference r:id="rId3" w:type="default"/>
      <w:footerReference r:id="rId4" w:type="even"/>
      <w:pgSz w:w="11906" w:h="16838"/>
      <w:pgMar w:top="1587" w:right="1474" w:bottom="1474" w:left="1587" w:header="851" w:footer="1474"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21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E12"/>
    <w:rsid w:val="0000051E"/>
    <w:rsid w:val="00001D33"/>
    <w:rsid w:val="000028C9"/>
    <w:rsid w:val="000155FC"/>
    <w:rsid w:val="000175BF"/>
    <w:rsid w:val="0001772A"/>
    <w:rsid w:val="00021540"/>
    <w:rsid w:val="00026535"/>
    <w:rsid w:val="00027CBA"/>
    <w:rsid w:val="00030BD4"/>
    <w:rsid w:val="0003485A"/>
    <w:rsid w:val="00034F55"/>
    <w:rsid w:val="000420EA"/>
    <w:rsid w:val="000427E2"/>
    <w:rsid w:val="00043D2E"/>
    <w:rsid w:val="00047C1B"/>
    <w:rsid w:val="00053EE9"/>
    <w:rsid w:val="00054D43"/>
    <w:rsid w:val="00054DCF"/>
    <w:rsid w:val="00054EB7"/>
    <w:rsid w:val="0005574C"/>
    <w:rsid w:val="0006070C"/>
    <w:rsid w:val="000639CF"/>
    <w:rsid w:val="00065200"/>
    <w:rsid w:val="00067A09"/>
    <w:rsid w:val="00073F65"/>
    <w:rsid w:val="000842FF"/>
    <w:rsid w:val="000A2CFA"/>
    <w:rsid w:val="000B27F1"/>
    <w:rsid w:val="000B3E51"/>
    <w:rsid w:val="000C15A3"/>
    <w:rsid w:val="000C7FE9"/>
    <w:rsid w:val="000D5121"/>
    <w:rsid w:val="000E0FCA"/>
    <w:rsid w:val="000E44AE"/>
    <w:rsid w:val="000E45ED"/>
    <w:rsid w:val="00100BE4"/>
    <w:rsid w:val="00102024"/>
    <w:rsid w:val="0011013E"/>
    <w:rsid w:val="0011190A"/>
    <w:rsid w:val="001136EF"/>
    <w:rsid w:val="00120138"/>
    <w:rsid w:val="00120AC5"/>
    <w:rsid w:val="001225CF"/>
    <w:rsid w:val="00122802"/>
    <w:rsid w:val="00122A47"/>
    <w:rsid w:val="00130AB7"/>
    <w:rsid w:val="001330DE"/>
    <w:rsid w:val="00134BAE"/>
    <w:rsid w:val="00141657"/>
    <w:rsid w:val="00141E8D"/>
    <w:rsid w:val="00146457"/>
    <w:rsid w:val="00147151"/>
    <w:rsid w:val="001570CA"/>
    <w:rsid w:val="001600A8"/>
    <w:rsid w:val="0016440F"/>
    <w:rsid w:val="00167113"/>
    <w:rsid w:val="00170AB6"/>
    <w:rsid w:val="001733C6"/>
    <w:rsid w:val="001760D0"/>
    <w:rsid w:val="00176E9E"/>
    <w:rsid w:val="00177282"/>
    <w:rsid w:val="0017754D"/>
    <w:rsid w:val="00177DDE"/>
    <w:rsid w:val="0018055E"/>
    <w:rsid w:val="0018417C"/>
    <w:rsid w:val="00186D29"/>
    <w:rsid w:val="00191922"/>
    <w:rsid w:val="00196B3B"/>
    <w:rsid w:val="001B4EBF"/>
    <w:rsid w:val="001D1F56"/>
    <w:rsid w:val="001D2188"/>
    <w:rsid w:val="001D2D97"/>
    <w:rsid w:val="001D39FC"/>
    <w:rsid w:val="001D469D"/>
    <w:rsid w:val="001D53A5"/>
    <w:rsid w:val="001E4338"/>
    <w:rsid w:val="001F35D7"/>
    <w:rsid w:val="001F6342"/>
    <w:rsid w:val="001F69D5"/>
    <w:rsid w:val="00203926"/>
    <w:rsid w:val="00206DF8"/>
    <w:rsid w:val="002074F7"/>
    <w:rsid w:val="002101FA"/>
    <w:rsid w:val="00213778"/>
    <w:rsid w:val="002148AC"/>
    <w:rsid w:val="00222B01"/>
    <w:rsid w:val="002247FE"/>
    <w:rsid w:val="00224B1E"/>
    <w:rsid w:val="00242193"/>
    <w:rsid w:val="00251D58"/>
    <w:rsid w:val="00252306"/>
    <w:rsid w:val="00255B14"/>
    <w:rsid w:val="00262C07"/>
    <w:rsid w:val="00271994"/>
    <w:rsid w:val="002726B1"/>
    <w:rsid w:val="00280812"/>
    <w:rsid w:val="002817B6"/>
    <w:rsid w:val="00283F54"/>
    <w:rsid w:val="00285CEF"/>
    <w:rsid w:val="00290EE3"/>
    <w:rsid w:val="002970E2"/>
    <w:rsid w:val="002A64DE"/>
    <w:rsid w:val="002B53DA"/>
    <w:rsid w:val="002B6DD1"/>
    <w:rsid w:val="002C1EC9"/>
    <w:rsid w:val="002C3116"/>
    <w:rsid w:val="002C7F37"/>
    <w:rsid w:val="002D0665"/>
    <w:rsid w:val="002D284A"/>
    <w:rsid w:val="002D60ED"/>
    <w:rsid w:val="002E2E5B"/>
    <w:rsid w:val="002F0CF5"/>
    <w:rsid w:val="002F5ADD"/>
    <w:rsid w:val="00302486"/>
    <w:rsid w:val="00314CB4"/>
    <w:rsid w:val="003178A1"/>
    <w:rsid w:val="00317958"/>
    <w:rsid w:val="003202F9"/>
    <w:rsid w:val="0032073C"/>
    <w:rsid w:val="00322ADF"/>
    <w:rsid w:val="00324B31"/>
    <w:rsid w:val="0033105A"/>
    <w:rsid w:val="00334EB0"/>
    <w:rsid w:val="0034207B"/>
    <w:rsid w:val="00344BF5"/>
    <w:rsid w:val="003450C0"/>
    <w:rsid w:val="00346494"/>
    <w:rsid w:val="00351DAC"/>
    <w:rsid w:val="00354334"/>
    <w:rsid w:val="00355F37"/>
    <w:rsid w:val="00362BC8"/>
    <w:rsid w:val="00363DA8"/>
    <w:rsid w:val="0036500E"/>
    <w:rsid w:val="00371DF3"/>
    <w:rsid w:val="0038006A"/>
    <w:rsid w:val="00391856"/>
    <w:rsid w:val="003961FF"/>
    <w:rsid w:val="00397B03"/>
    <w:rsid w:val="003B21E3"/>
    <w:rsid w:val="003B27FF"/>
    <w:rsid w:val="003B742A"/>
    <w:rsid w:val="003C12FB"/>
    <w:rsid w:val="003C40D4"/>
    <w:rsid w:val="003D081C"/>
    <w:rsid w:val="003D0BFF"/>
    <w:rsid w:val="003D6A6B"/>
    <w:rsid w:val="003F481B"/>
    <w:rsid w:val="003F48D1"/>
    <w:rsid w:val="00401C53"/>
    <w:rsid w:val="00404D9E"/>
    <w:rsid w:val="004135EA"/>
    <w:rsid w:val="00421B19"/>
    <w:rsid w:val="00422B0B"/>
    <w:rsid w:val="00422E47"/>
    <w:rsid w:val="00423211"/>
    <w:rsid w:val="004245F7"/>
    <w:rsid w:val="00426CE4"/>
    <w:rsid w:val="00426FEA"/>
    <w:rsid w:val="00431925"/>
    <w:rsid w:val="00432F81"/>
    <w:rsid w:val="00435247"/>
    <w:rsid w:val="004376FF"/>
    <w:rsid w:val="00441F50"/>
    <w:rsid w:val="004420F5"/>
    <w:rsid w:val="00446207"/>
    <w:rsid w:val="00460B50"/>
    <w:rsid w:val="00462A1B"/>
    <w:rsid w:val="0047102A"/>
    <w:rsid w:val="004767A0"/>
    <w:rsid w:val="00480634"/>
    <w:rsid w:val="00480DBB"/>
    <w:rsid w:val="0048149F"/>
    <w:rsid w:val="00490BD7"/>
    <w:rsid w:val="00492F86"/>
    <w:rsid w:val="00494936"/>
    <w:rsid w:val="004950DE"/>
    <w:rsid w:val="00495471"/>
    <w:rsid w:val="004A6381"/>
    <w:rsid w:val="004A7255"/>
    <w:rsid w:val="004B18A6"/>
    <w:rsid w:val="004B71FD"/>
    <w:rsid w:val="004B7C9D"/>
    <w:rsid w:val="004C041C"/>
    <w:rsid w:val="004C0428"/>
    <w:rsid w:val="004C1E46"/>
    <w:rsid w:val="004C2BBC"/>
    <w:rsid w:val="004D124F"/>
    <w:rsid w:val="004D20FC"/>
    <w:rsid w:val="004E451B"/>
    <w:rsid w:val="004E758F"/>
    <w:rsid w:val="004F0548"/>
    <w:rsid w:val="004F0AE7"/>
    <w:rsid w:val="004F4BAB"/>
    <w:rsid w:val="004F5255"/>
    <w:rsid w:val="00501E64"/>
    <w:rsid w:val="0050428A"/>
    <w:rsid w:val="0050454F"/>
    <w:rsid w:val="00505D0E"/>
    <w:rsid w:val="00533746"/>
    <w:rsid w:val="00546918"/>
    <w:rsid w:val="005507A2"/>
    <w:rsid w:val="00561338"/>
    <w:rsid w:val="00561975"/>
    <w:rsid w:val="00565117"/>
    <w:rsid w:val="0056679B"/>
    <w:rsid w:val="00573EC4"/>
    <w:rsid w:val="00583859"/>
    <w:rsid w:val="005901AA"/>
    <w:rsid w:val="005911E1"/>
    <w:rsid w:val="005A3116"/>
    <w:rsid w:val="005A5CCA"/>
    <w:rsid w:val="005A5FCF"/>
    <w:rsid w:val="005B100F"/>
    <w:rsid w:val="005B2D5D"/>
    <w:rsid w:val="005C38B2"/>
    <w:rsid w:val="005D16FF"/>
    <w:rsid w:val="005D2489"/>
    <w:rsid w:val="005D4003"/>
    <w:rsid w:val="005D4080"/>
    <w:rsid w:val="005D470C"/>
    <w:rsid w:val="005E1109"/>
    <w:rsid w:val="005E6EE3"/>
    <w:rsid w:val="005F0FF8"/>
    <w:rsid w:val="005F757D"/>
    <w:rsid w:val="00600C8F"/>
    <w:rsid w:val="00603082"/>
    <w:rsid w:val="00607E12"/>
    <w:rsid w:val="00611CA5"/>
    <w:rsid w:val="00620233"/>
    <w:rsid w:val="0062633A"/>
    <w:rsid w:val="00626848"/>
    <w:rsid w:val="0063222A"/>
    <w:rsid w:val="0063307E"/>
    <w:rsid w:val="00642C2A"/>
    <w:rsid w:val="006437B2"/>
    <w:rsid w:val="00664E32"/>
    <w:rsid w:val="0067039B"/>
    <w:rsid w:val="0068775B"/>
    <w:rsid w:val="00691CE0"/>
    <w:rsid w:val="00694365"/>
    <w:rsid w:val="006A2A65"/>
    <w:rsid w:val="006A566C"/>
    <w:rsid w:val="006A61DF"/>
    <w:rsid w:val="006B5DD7"/>
    <w:rsid w:val="006C1B21"/>
    <w:rsid w:val="006D014A"/>
    <w:rsid w:val="006D5786"/>
    <w:rsid w:val="006D6F59"/>
    <w:rsid w:val="006E1572"/>
    <w:rsid w:val="006E173D"/>
    <w:rsid w:val="006E538A"/>
    <w:rsid w:val="006F0EDC"/>
    <w:rsid w:val="006F3611"/>
    <w:rsid w:val="00701258"/>
    <w:rsid w:val="007036CD"/>
    <w:rsid w:val="00705A2B"/>
    <w:rsid w:val="00716862"/>
    <w:rsid w:val="007254E0"/>
    <w:rsid w:val="007278AE"/>
    <w:rsid w:val="00730852"/>
    <w:rsid w:val="00735715"/>
    <w:rsid w:val="00737BE2"/>
    <w:rsid w:val="00744FBD"/>
    <w:rsid w:val="007450D8"/>
    <w:rsid w:val="00755DA9"/>
    <w:rsid w:val="00755FDA"/>
    <w:rsid w:val="00757640"/>
    <w:rsid w:val="00761826"/>
    <w:rsid w:val="007654CC"/>
    <w:rsid w:val="00767D9E"/>
    <w:rsid w:val="00777274"/>
    <w:rsid w:val="00777FB0"/>
    <w:rsid w:val="0078049C"/>
    <w:rsid w:val="00784541"/>
    <w:rsid w:val="007874D6"/>
    <w:rsid w:val="007A3314"/>
    <w:rsid w:val="007A48F4"/>
    <w:rsid w:val="007A4C8D"/>
    <w:rsid w:val="007B0EC6"/>
    <w:rsid w:val="007B2F96"/>
    <w:rsid w:val="007C1250"/>
    <w:rsid w:val="007D00FC"/>
    <w:rsid w:val="007D0966"/>
    <w:rsid w:val="007D20F3"/>
    <w:rsid w:val="007D4338"/>
    <w:rsid w:val="007D6BFC"/>
    <w:rsid w:val="007D6CD1"/>
    <w:rsid w:val="007E2E16"/>
    <w:rsid w:val="007E3BD8"/>
    <w:rsid w:val="007E57F2"/>
    <w:rsid w:val="007E653A"/>
    <w:rsid w:val="007F3519"/>
    <w:rsid w:val="0080668B"/>
    <w:rsid w:val="0081318A"/>
    <w:rsid w:val="00814C3C"/>
    <w:rsid w:val="00817D1B"/>
    <w:rsid w:val="0082495C"/>
    <w:rsid w:val="0082609A"/>
    <w:rsid w:val="0083632B"/>
    <w:rsid w:val="00841059"/>
    <w:rsid w:val="00841718"/>
    <w:rsid w:val="00851C0B"/>
    <w:rsid w:val="0085432D"/>
    <w:rsid w:val="00855AB4"/>
    <w:rsid w:val="008561F1"/>
    <w:rsid w:val="0086134B"/>
    <w:rsid w:val="00864275"/>
    <w:rsid w:val="00872593"/>
    <w:rsid w:val="008846E9"/>
    <w:rsid w:val="00884DD1"/>
    <w:rsid w:val="00890399"/>
    <w:rsid w:val="00895F15"/>
    <w:rsid w:val="008A0636"/>
    <w:rsid w:val="008A2A01"/>
    <w:rsid w:val="008A38D6"/>
    <w:rsid w:val="008A3D1E"/>
    <w:rsid w:val="008A43C6"/>
    <w:rsid w:val="008A49F0"/>
    <w:rsid w:val="008B7D00"/>
    <w:rsid w:val="008C2879"/>
    <w:rsid w:val="008C6EB5"/>
    <w:rsid w:val="008D2EB9"/>
    <w:rsid w:val="008D41BD"/>
    <w:rsid w:val="008D4D00"/>
    <w:rsid w:val="008E7C26"/>
    <w:rsid w:val="008F2607"/>
    <w:rsid w:val="008F3774"/>
    <w:rsid w:val="0090051E"/>
    <w:rsid w:val="009061F1"/>
    <w:rsid w:val="00910307"/>
    <w:rsid w:val="0091131C"/>
    <w:rsid w:val="00911FA3"/>
    <w:rsid w:val="00917F50"/>
    <w:rsid w:val="0092046E"/>
    <w:rsid w:val="00926B68"/>
    <w:rsid w:val="009326D4"/>
    <w:rsid w:val="00942960"/>
    <w:rsid w:val="00952960"/>
    <w:rsid w:val="009571BF"/>
    <w:rsid w:val="0096181A"/>
    <w:rsid w:val="00970F5C"/>
    <w:rsid w:val="00980C64"/>
    <w:rsid w:val="00981617"/>
    <w:rsid w:val="00984F70"/>
    <w:rsid w:val="00995B9A"/>
    <w:rsid w:val="00995F22"/>
    <w:rsid w:val="00996706"/>
    <w:rsid w:val="0099789A"/>
    <w:rsid w:val="009A01A1"/>
    <w:rsid w:val="009A0F73"/>
    <w:rsid w:val="009A38B0"/>
    <w:rsid w:val="009A7B10"/>
    <w:rsid w:val="009B186D"/>
    <w:rsid w:val="009B46C1"/>
    <w:rsid w:val="009C7673"/>
    <w:rsid w:val="009D21EA"/>
    <w:rsid w:val="009E0942"/>
    <w:rsid w:val="009E153F"/>
    <w:rsid w:val="009F0A76"/>
    <w:rsid w:val="009F1C2B"/>
    <w:rsid w:val="009F42A2"/>
    <w:rsid w:val="009F782A"/>
    <w:rsid w:val="009F7F6C"/>
    <w:rsid w:val="00A04BBF"/>
    <w:rsid w:val="00A05764"/>
    <w:rsid w:val="00A05FE8"/>
    <w:rsid w:val="00A1783A"/>
    <w:rsid w:val="00A259D6"/>
    <w:rsid w:val="00A268FC"/>
    <w:rsid w:val="00A3654D"/>
    <w:rsid w:val="00A44FA7"/>
    <w:rsid w:val="00A4608B"/>
    <w:rsid w:val="00A55460"/>
    <w:rsid w:val="00A55D58"/>
    <w:rsid w:val="00A5629A"/>
    <w:rsid w:val="00A5637A"/>
    <w:rsid w:val="00A629AC"/>
    <w:rsid w:val="00A66921"/>
    <w:rsid w:val="00A67C22"/>
    <w:rsid w:val="00A722FB"/>
    <w:rsid w:val="00A73342"/>
    <w:rsid w:val="00A75E77"/>
    <w:rsid w:val="00A7769A"/>
    <w:rsid w:val="00A95599"/>
    <w:rsid w:val="00A96D56"/>
    <w:rsid w:val="00A974C1"/>
    <w:rsid w:val="00AA46CF"/>
    <w:rsid w:val="00AA5AB0"/>
    <w:rsid w:val="00AB0D59"/>
    <w:rsid w:val="00AB323C"/>
    <w:rsid w:val="00AB3AAE"/>
    <w:rsid w:val="00AB75A6"/>
    <w:rsid w:val="00AC1FF6"/>
    <w:rsid w:val="00AC5A32"/>
    <w:rsid w:val="00AC6807"/>
    <w:rsid w:val="00AD31B0"/>
    <w:rsid w:val="00AD43B9"/>
    <w:rsid w:val="00AD4486"/>
    <w:rsid w:val="00AD65C3"/>
    <w:rsid w:val="00AD7D0A"/>
    <w:rsid w:val="00AE2416"/>
    <w:rsid w:val="00AE2C0B"/>
    <w:rsid w:val="00AE76C2"/>
    <w:rsid w:val="00AF0307"/>
    <w:rsid w:val="00B0093A"/>
    <w:rsid w:val="00B057E0"/>
    <w:rsid w:val="00B07C2C"/>
    <w:rsid w:val="00B12E00"/>
    <w:rsid w:val="00B14F8C"/>
    <w:rsid w:val="00B15181"/>
    <w:rsid w:val="00B211A3"/>
    <w:rsid w:val="00B23783"/>
    <w:rsid w:val="00B316BA"/>
    <w:rsid w:val="00B41BE8"/>
    <w:rsid w:val="00B42D0C"/>
    <w:rsid w:val="00B463CF"/>
    <w:rsid w:val="00B54FA4"/>
    <w:rsid w:val="00B60D03"/>
    <w:rsid w:val="00B67091"/>
    <w:rsid w:val="00B81DAC"/>
    <w:rsid w:val="00B822EA"/>
    <w:rsid w:val="00B922A2"/>
    <w:rsid w:val="00B93851"/>
    <w:rsid w:val="00B94043"/>
    <w:rsid w:val="00B96B08"/>
    <w:rsid w:val="00BA33C7"/>
    <w:rsid w:val="00BA43B4"/>
    <w:rsid w:val="00BA43B8"/>
    <w:rsid w:val="00BA5FD9"/>
    <w:rsid w:val="00BB36E3"/>
    <w:rsid w:val="00BB4092"/>
    <w:rsid w:val="00BB771B"/>
    <w:rsid w:val="00BC4C57"/>
    <w:rsid w:val="00BC6593"/>
    <w:rsid w:val="00BC6C2F"/>
    <w:rsid w:val="00BD0E0D"/>
    <w:rsid w:val="00BD4AE7"/>
    <w:rsid w:val="00BD5489"/>
    <w:rsid w:val="00BD5A36"/>
    <w:rsid w:val="00BE14B9"/>
    <w:rsid w:val="00BE1EF6"/>
    <w:rsid w:val="00BE3720"/>
    <w:rsid w:val="00BE4944"/>
    <w:rsid w:val="00BE6245"/>
    <w:rsid w:val="00BF2DDD"/>
    <w:rsid w:val="00BF4EDC"/>
    <w:rsid w:val="00BF6572"/>
    <w:rsid w:val="00C0316B"/>
    <w:rsid w:val="00C10901"/>
    <w:rsid w:val="00C11001"/>
    <w:rsid w:val="00C20076"/>
    <w:rsid w:val="00C23D12"/>
    <w:rsid w:val="00C31EF7"/>
    <w:rsid w:val="00C3206D"/>
    <w:rsid w:val="00C33307"/>
    <w:rsid w:val="00C3371D"/>
    <w:rsid w:val="00C41417"/>
    <w:rsid w:val="00C4219E"/>
    <w:rsid w:val="00C4238E"/>
    <w:rsid w:val="00C4258A"/>
    <w:rsid w:val="00C45DE6"/>
    <w:rsid w:val="00C468C6"/>
    <w:rsid w:val="00C61402"/>
    <w:rsid w:val="00C66C12"/>
    <w:rsid w:val="00C66C81"/>
    <w:rsid w:val="00C7551A"/>
    <w:rsid w:val="00C811D2"/>
    <w:rsid w:val="00C84B8C"/>
    <w:rsid w:val="00C86109"/>
    <w:rsid w:val="00C93F35"/>
    <w:rsid w:val="00C95F82"/>
    <w:rsid w:val="00C97EAF"/>
    <w:rsid w:val="00CA01ED"/>
    <w:rsid w:val="00CA072F"/>
    <w:rsid w:val="00CB6C8A"/>
    <w:rsid w:val="00CB71B8"/>
    <w:rsid w:val="00CC29D1"/>
    <w:rsid w:val="00CC6E15"/>
    <w:rsid w:val="00CD2BD0"/>
    <w:rsid w:val="00CD341A"/>
    <w:rsid w:val="00CD7B97"/>
    <w:rsid w:val="00CE4584"/>
    <w:rsid w:val="00CF2F76"/>
    <w:rsid w:val="00CF3987"/>
    <w:rsid w:val="00CF487D"/>
    <w:rsid w:val="00D01565"/>
    <w:rsid w:val="00D02C02"/>
    <w:rsid w:val="00D03EFD"/>
    <w:rsid w:val="00D04855"/>
    <w:rsid w:val="00D06AE0"/>
    <w:rsid w:val="00D1341C"/>
    <w:rsid w:val="00D1398B"/>
    <w:rsid w:val="00D13DA7"/>
    <w:rsid w:val="00D162A8"/>
    <w:rsid w:val="00D20046"/>
    <w:rsid w:val="00D21A4A"/>
    <w:rsid w:val="00D3017F"/>
    <w:rsid w:val="00D311F3"/>
    <w:rsid w:val="00D3507F"/>
    <w:rsid w:val="00D35A65"/>
    <w:rsid w:val="00D363D0"/>
    <w:rsid w:val="00D36CE6"/>
    <w:rsid w:val="00D41FA5"/>
    <w:rsid w:val="00D4306E"/>
    <w:rsid w:val="00D44633"/>
    <w:rsid w:val="00D4526D"/>
    <w:rsid w:val="00D479F4"/>
    <w:rsid w:val="00D53260"/>
    <w:rsid w:val="00D556D1"/>
    <w:rsid w:val="00D6004F"/>
    <w:rsid w:val="00D669F9"/>
    <w:rsid w:val="00D706B6"/>
    <w:rsid w:val="00D811F9"/>
    <w:rsid w:val="00DA0593"/>
    <w:rsid w:val="00DA3692"/>
    <w:rsid w:val="00DB79E0"/>
    <w:rsid w:val="00DD14B2"/>
    <w:rsid w:val="00DD6BBC"/>
    <w:rsid w:val="00DE0EDD"/>
    <w:rsid w:val="00DE3005"/>
    <w:rsid w:val="00DE735E"/>
    <w:rsid w:val="00DF32B3"/>
    <w:rsid w:val="00DF3B9C"/>
    <w:rsid w:val="00DF5874"/>
    <w:rsid w:val="00DF5A8E"/>
    <w:rsid w:val="00E115ED"/>
    <w:rsid w:val="00E20FA3"/>
    <w:rsid w:val="00E24893"/>
    <w:rsid w:val="00E46647"/>
    <w:rsid w:val="00E4699A"/>
    <w:rsid w:val="00E5411A"/>
    <w:rsid w:val="00E6183C"/>
    <w:rsid w:val="00E64255"/>
    <w:rsid w:val="00E6527B"/>
    <w:rsid w:val="00E67E5F"/>
    <w:rsid w:val="00E70C3D"/>
    <w:rsid w:val="00E71DE9"/>
    <w:rsid w:val="00E735E7"/>
    <w:rsid w:val="00E77357"/>
    <w:rsid w:val="00E805E8"/>
    <w:rsid w:val="00E8343D"/>
    <w:rsid w:val="00E9151E"/>
    <w:rsid w:val="00E93825"/>
    <w:rsid w:val="00E950F2"/>
    <w:rsid w:val="00E97BF1"/>
    <w:rsid w:val="00EA2F62"/>
    <w:rsid w:val="00EA5AF8"/>
    <w:rsid w:val="00EB25A6"/>
    <w:rsid w:val="00EB5255"/>
    <w:rsid w:val="00EC12FF"/>
    <w:rsid w:val="00EC5F49"/>
    <w:rsid w:val="00ED45DD"/>
    <w:rsid w:val="00ED5569"/>
    <w:rsid w:val="00EE3026"/>
    <w:rsid w:val="00EE3420"/>
    <w:rsid w:val="00EE7078"/>
    <w:rsid w:val="00EF5946"/>
    <w:rsid w:val="00EF72EA"/>
    <w:rsid w:val="00F04C79"/>
    <w:rsid w:val="00F11494"/>
    <w:rsid w:val="00F1390F"/>
    <w:rsid w:val="00F167C8"/>
    <w:rsid w:val="00F169A5"/>
    <w:rsid w:val="00F21E28"/>
    <w:rsid w:val="00F258A9"/>
    <w:rsid w:val="00F27C63"/>
    <w:rsid w:val="00F328C2"/>
    <w:rsid w:val="00F41CB0"/>
    <w:rsid w:val="00F424BF"/>
    <w:rsid w:val="00F43A19"/>
    <w:rsid w:val="00F44036"/>
    <w:rsid w:val="00F50C39"/>
    <w:rsid w:val="00F6171D"/>
    <w:rsid w:val="00F62963"/>
    <w:rsid w:val="00F62E68"/>
    <w:rsid w:val="00F7292B"/>
    <w:rsid w:val="00F72D44"/>
    <w:rsid w:val="00F8320C"/>
    <w:rsid w:val="00F86344"/>
    <w:rsid w:val="00F969D6"/>
    <w:rsid w:val="00F96D6E"/>
    <w:rsid w:val="00F96E01"/>
    <w:rsid w:val="00FA0345"/>
    <w:rsid w:val="00FB0A36"/>
    <w:rsid w:val="00FB0D1C"/>
    <w:rsid w:val="00FB2583"/>
    <w:rsid w:val="00FB5BA5"/>
    <w:rsid w:val="00FC4290"/>
    <w:rsid w:val="00FD5C48"/>
    <w:rsid w:val="00FD6A34"/>
    <w:rsid w:val="00FE24BC"/>
    <w:rsid w:val="00FE3A24"/>
    <w:rsid w:val="00FF02D5"/>
    <w:rsid w:val="01134FCC"/>
    <w:rsid w:val="01192800"/>
    <w:rsid w:val="01626E33"/>
    <w:rsid w:val="017A2F9F"/>
    <w:rsid w:val="01B67107"/>
    <w:rsid w:val="020F6D27"/>
    <w:rsid w:val="02217C74"/>
    <w:rsid w:val="026359B2"/>
    <w:rsid w:val="026B7642"/>
    <w:rsid w:val="02AC542A"/>
    <w:rsid w:val="038E49EB"/>
    <w:rsid w:val="03A45696"/>
    <w:rsid w:val="03B74B35"/>
    <w:rsid w:val="03D862B6"/>
    <w:rsid w:val="03FB4D0B"/>
    <w:rsid w:val="04224F99"/>
    <w:rsid w:val="045B484E"/>
    <w:rsid w:val="047841EE"/>
    <w:rsid w:val="04A56073"/>
    <w:rsid w:val="04AD2B7D"/>
    <w:rsid w:val="04E841EF"/>
    <w:rsid w:val="05081AD1"/>
    <w:rsid w:val="052E6699"/>
    <w:rsid w:val="057728DC"/>
    <w:rsid w:val="05912D04"/>
    <w:rsid w:val="05C1448E"/>
    <w:rsid w:val="05C1761D"/>
    <w:rsid w:val="05D90398"/>
    <w:rsid w:val="05E52FAD"/>
    <w:rsid w:val="060A24AD"/>
    <w:rsid w:val="063328B0"/>
    <w:rsid w:val="07640956"/>
    <w:rsid w:val="07A34544"/>
    <w:rsid w:val="08190B33"/>
    <w:rsid w:val="08C10882"/>
    <w:rsid w:val="08C7668D"/>
    <w:rsid w:val="08CC205B"/>
    <w:rsid w:val="08DB1609"/>
    <w:rsid w:val="09327D67"/>
    <w:rsid w:val="097859D4"/>
    <w:rsid w:val="09823D8A"/>
    <w:rsid w:val="09C9617E"/>
    <w:rsid w:val="0A280DE4"/>
    <w:rsid w:val="0A2D21B2"/>
    <w:rsid w:val="0A751EDD"/>
    <w:rsid w:val="0AB177F2"/>
    <w:rsid w:val="0AB319EF"/>
    <w:rsid w:val="0AEC3562"/>
    <w:rsid w:val="0B447CC4"/>
    <w:rsid w:val="0B5C19F8"/>
    <w:rsid w:val="0B6B4922"/>
    <w:rsid w:val="0B840250"/>
    <w:rsid w:val="0BBB1C03"/>
    <w:rsid w:val="0BBD1CFB"/>
    <w:rsid w:val="0BC63C92"/>
    <w:rsid w:val="0BCF17F7"/>
    <w:rsid w:val="0C1A7343"/>
    <w:rsid w:val="0C3C56A3"/>
    <w:rsid w:val="0C3E1C6B"/>
    <w:rsid w:val="0C8D0553"/>
    <w:rsid w:val="0C994F52"/>
    <w:rsid w:val="0CB6160D"/>
    <w:rsid w:val="0CF6570A"/>
    <w:rsid w:val="0D4A231C"/>
    <w:rsid w:val="0D8E657C"/>
    <w:rsid w:val="0D961DDF"/>
    <w:rsid w:val="0DBA0DC1"/>
    <w:rsid w:val="0DCE605A"/>
    <w:rsid w:val="0E5158C5"/>
    <w:rsid w:val="0E660D93"/>
    <w:rsid w:val="0EA66A76"/>
    <w:rsid w:val="0EAD6E68"/>
    <w:rsid w:val="0EB15612"/>
    <w:rsid w:val="0ECF621B"/>
    <w:rsid w:val="0EFB5876"/>
    <w:rsid w:val="0F107EE3"/>
    <w:rsid w:val="0F3B4594"/>
    <w:rsid w:val="0F4603E9"/>
    <w:rsid w:val="0F5D6174"/>
    <w:rsid w:val="0F8109EA"/>
    <w:rsid w:val="0F931176"/>
    <w:rsid w:val="0FC0132B"/>
    <w:rsid w:val="0FCF39BD"/>
    <w:rsid w:val="100A1A0C"/>
    <w:rsid w:val="1016071E"/>
    <w:rsid w:val="10325A41"/>
    <w:rsid w:val="105B184B"/>
    <w:rsid w:val="1064219E"/>
    <w:rsid w:val="10656E2F"/>
    <w:rsid w:val="1084224C"/>
    <w:rsid w:val="10DB232E"/>
    <w:rsid w:val="1113718A"/>
    <w:rsid w:val="114859F3"/>
    <w:rsid w:val="12554B29"/>
    <w:rsid w:val="12AD3E7D"/>
    <w:rsid w:val="12C42FA0"/>
    <w:rsid w:val="12D35C61"/>
    <w:rsid w:val="12E0359D"/>
    <w:rsid w:val="12EA2F1A"/>
    <w:rsid w:val="130558D9"/>
    <w:rsid w:val="13424E21"/>
    <w:rsid w:val="137F545A"/>
    <w:rsid w:val="13801D6F"/>
    <w:rsid w:val="13841A7B"/>
    <w:rsid w:val="138B759A"/>
    <w:rsid w:val="13E7014E"/>
    <w:rsid w:val="13F46315"/>
    <w:rsid w:val="140D076E"/>
    <w:rsid w:val="140E2407"/>
    <w:rsid w:val="141F1F10"/>
    <w:rsid w:val="14611714"/>
    <w:rsid w:val="14CF05AD"/>
    <w:rsid w:val="14CF3275"/>
    <w:rsid w:val="14E8356B"/>
    <w:rsid w:val="14EB3F48"/>
    <w:rsid w:val="14FD41CB"/>
    <w:rsid w:val="15412259"/>
    <w:rsid w:val="15546C2C"/>
    <w:rsid w:val="158240BB"/>
    <w:rsid w:val="15D6725F"/>
    <w:rsid w:val="160D5A33"/>
    <w:rsid w:val="164B77DE"/>
    <w:rsid w:val="164E5E0B"/>
    <w:rsid w:val="17532A55"/>
    <w:rsid w:val="17932EDC"/>
    <w:rsid w:val="17A36DDB"/>
    <w:rsid w:val="17A532AB"/>
    <w:rsid w:val="180B07AE"/>
    <w:rsid w:val="181A2360"/>
    <w:rsid w:val="181F4708"/>
    <w:rsid w:val="18221462"/>
    <w:rsid w:val="184F1121"/>
    <w:rsid w:val="185B2A86"/>
    <w:rsid w:val="18C66253"/>
    <w:rsid w:val="18CD5743"/>
    <w:rsid w:val="197B50D2"/>
    <w:rsid w:val="19926875"/>
    <w:rsid w:val="1A297DDD"/>
    <w:rsid w:val="1A7919B9"/>
    <w:rsid w:val="1B1350D9"/>
    <w:rsid w:val="1B9A7C0E"/>
    <w:rsid w:val="1B9B203B"/>
    <w:rsid w:val="1BFD1CC9"/>
    <w:rsid w:val="1C96385A"/>
    <w:rsid w:val="1CE92F5C"/>
    <w:rsid w:val="1D437979"/>
    <w:rsid w:val="1D4708B1"/>
    <w:rsid w:val="1D656164"/>
    <w:rsid w:val="1D9F6F51"/>
    <w:rsid w:val="1E3318EA"/>
    <w:rsid w:val="1E8900BD"/>
    <w:rsid w:val="1ECB269E"/>
    <w:rsid w:val="1EE66C3C"/>
    <w:rsid w:val="1EF96BEA"/>
    <w:rsid w:val="1F116510"/>
    <w:rsid w:val="1F1C3B7B"/>
    <w:rsid w:val="200551AB"/>
    <w:rsid w:val="205932DE"/>
    <w:rsid w:val="20A03801"/>
    <w:rsid w:val="20A965BB"/>
    <w:rsid w:val="20BC5FF2"/>
    <w:rsid w:val="219D4F8D"/>
    <w:rsid w:val="222807B1"/>
    <w:rsid w:val="22435D4E"/>
    <w:rsid w:val="2245419D"/>
    <w:rsid w:val="22FE317D"/>
    <w:rsid w:val="237704D4"/>
    <w:rsid w:val="23891077"/>
    <w:rsid w:val="23A1558C"/>
    <w:rsid w:val="23BE50B1"/>
    <w:rsid w:val="2422161E"/>
    <w:rsid w:val="246E6851"/>
    <w:rsid w:val="24942E5E"/>
    <w:rsid w:val="24954F65"/>
    <w:rsid w:val="24C7511E"/>
    <w:rsid w:val="256431DC"/>
    <w:rsid w:val="257F04AC"/>
    <w:rsid w:val="25E53B95"/>
    <w:rsid w:val="25EB17AB"/>
    <w:rsid w:val="25FF1317"/>
    <w:rsid w:val="26487E8F"/>
    <w:rsid w:val="266362EA"/>
    <w:rsid w:val="26791D53"/>
    <w:rsid w:val="268A5041"/>
    <w:rsid w:val="269A59A1"/>
    <w:rsid w:val="26D96305"/>
    <w:rsid w:val="26E96527"/>
    <w:rsid w:val="27293F76"/>
    <w:rsid w:val="275642B6"/>
    <w:rsid w:val="2797346E"/>
    <w:rsid w:val="27984D8A"/>
    <w:rsid w:val="27CC625C"/>
    <w:rsid w:val="27FF1758"/>
    <w:rsid w:val="28026E78"/>
    <w:rsid w:val="28406D20"/>
    <w:rsid w:val="284304C4"/>
    <w:rsid w:val="285745A9"/>
    <w:rsid w:val="28604488"/>
    <w:rsid w:val="287F60B2"/>
    <w:rsid w:val="292F3083"/>
    <w:rsid w:val="29696297"/>
    <w:rsid w:val="297011FE"/>
    <w:rsid w:val="29C31D7D"/>
    <w:rsid w:val="29F90436"/>
    <w:rsid w:val="29FF1B5A"/>
    <w:rsid w:val="2A254E63"/>
    <w:rsid w:val="2A275D31"/>
    <w:rsid w:val="2AE168E0"/>
    <w:rsid w:val="2B2F33CE"/>
    <w:rsid w:val="2B462123"/>
    <w:rsid w:val="2B762790"/>
    <w:rsid w:val="2BAC2B14"/>
    <w:rsid w:val="2BC73FBA"/>
    <w:rsid w:val="2BFF60E5"/>
    <w:rsid w:val="2C0042E3"/>
    <w:rsid w:val="2C0D59AC"/>
    <w:rsid w:val="2C2D5D74"/>
    <w:rsid w:val="2C334F61"/>
    <w:rsid w:val="2C3D20DB"/>
    <w:rsid w:val="2C5C6894"/>
    <w:rsid w:val="2C71221F"/>
    <w:rsid w:val="2C715093"/>
    <w:rsid w:val="2CF75D34"/>
    <w:rsid w:val="2CFE77BB"/>
    <w:rsid w:val="2DDB0952"/>
    <w:rsid w:val="2E0221C2"/>
    <w:rsid w:val="2E0C46C8"/>
    <w:rsid w:val="2E2A738E"/>
    <w:rsid w:val="2E4A0CBE"/>
    <w:rsid w:val="2E87426C"/>
    <w:rsid w:val="2EAB46F5"/>
    <w:rsid w:val="2EC6420A"/>
    <w:rsid w:val="2EF3059D"/>
    <w:rsid w:val="2F1C3DF2"/>
    <w:rsid w:val="2F2C0A85"/>
    <w:rsid w:val="2F414FFF"/>
    <w:rsid w:val="2F8D5831"/>
    <w:rsid w:val="2FA6445E"/>
    <w:rsid w:val="2FAC25DB"/>
    <w:rsid w:val="2FAF3097"/>
    <w:rsid w:val="2FB617C0"/>
    <w:rsid w:val="300C6664"/>
    <w:rsid w:val="30450B4E"/>
    <w:rsid w:val="30465275"/>
    <w:rsid w:val="31061102"/>
    <w:rsid w:val="31A04CAD"/>
    <w:rsid w:val="31A70211"/>
    <w:rsid w:val="31B15053"/>
    <w:rsid w:val="31C14563"/>
    <w:rsid w:val="320A79AF"/>
    <w:rsid w:val="322643CB"/>
    <w:rsid w:val="3256082B"/>
    <w:rsid w:val="327D7E69"/>
    <w:rsid w:val="32826152"/>
    <w:rsid w:val="32EC51EE"/>
    <w:rsid w:val="33116010"/>
    <w:rsid w:val="331546C4"/>
    <w:rsid w:val="33656AA9"/>
    <w:rsid w:val="33782EB9"/>
    <w:rsid w:val="33A16094"/>
    <w:rsid w:val="33E6234B"/>
    <w:rsid w:val="33F80618"/>
    <w:rsid w:val="340E49EF"/>
    <w:rsid w:val="3429603F"/>
    <w:rsid w:val="34535207"/>
    <w:rsid w:val="3465554A"/>
    <w:rsid w:val="34983DE3"/>
    <w:rsid w:val="34A64D07"/>
    <w:rsid w:val="34B10AAC"/>
    <w:rsid w:val="34BF6C35"/>
    <w:rsid w:val="34F5635F"/>
    <w:rsid w:val="354811BC"/>
    <w:rsid w:val="35521A2B"/>
    <w:rsid w:val="355E472E"/>
    <w:rsid w:val="359E40E8"/>
    <w:rsid w:val="35C22B6B"/>
    <w:rsid w:val="35D81D71"/>
    <w:rsid w:val="35EA737B"/>
    <w:rsid w:val="3626545B"/>
    <w:rsid w:val="36706ADF"/>
    <w:rsid w:val="36833C5C"/>
    <w:rsid w:val="36A129F2"/>
    <w:rsid w:val="36B3095D"/>
    <w:rsid w:val="36D22597"/>
    <w:rsid w:val="36FB1FC3"/>
    <w:rsid w:val="371719A6"/>
    <w:rsid w:val="371E35B2"/>
    <w:rsid w:val="37564D03"/>
    <w:rsid w:val="37751EC2"/>
    <w:rsid w:val="37C77C1E"/>
    <w:rsid w:val="388010B8"/>
    <w:rsid w:val="38FA6DBA"/>
    <w:rsid w:val="390E5CB1"/>
    <w:rsid w:val="39474657"/>
    <w:rsid w:val="394E2214"/>
    <w:rsid w:val="399A1E48"/>
    <w:rsid w:val="39A10C32"/>
    <w:rsid w:val="39CC7911"/>
    <w:rsid w:val="39E44839"/>
    <w:rsid w:val="3A457B72"/>
    <w:rsid w:val="3A4A2286"/>
    <w:rsid w:val="3AA6726B"/>
    <w:rsid w:val="3AE82075"/>
    <w:rsid w:val="3B017FBE"/>
    <w:rsid w:val="3B307A72"/>
    <w:rsid w:val="3B7F6C72"/>
    <w:rsid w:val="3B9335A4"/>
    <w:rsid w:val="3B992613"/>
    <w:rsid w:val="3BB24F73"/>
    <w:rsid w:val="3BCD490E"/>
    <w:rsid w:val="3BDB6726"/>
    <w:rsid w:val="3C056780"/>
    <w:rsid w:val="3C0B3B20"/>
    <w:rsid w:val="3C1860E9"/>
    <w:rsid w:val="3C265FAB"/>
    <w:rsid w:val="3C45620B"/>
    <w:rsid w:val="3D7312A1"/>
    <w:rsid w:val="3D8F2FFE"/>
    <w:rsid w:val="3D8F779B"/>
    <w:rsid w:val="3DB31849"/>
    <w:rsid w:val="3E15702B"/>
    <w:rsid w:val="3E247857"/>
    <w:rsid w:val="3E984240"/>
    <w:rsid w:val="3EA20949"/>
    <w:rsid w:val="3EAD34C3"/>
    <w:rsid w:val="3EBE7C37"/>
    <w:rsid w:val="3F120426"/>
    <w:rsid w:val="3F1976B6"/>
    <w:rsid w:val="3F5E6431"/>
    <w:rsid w:val="3F8C0907"/>
    <w:rsid w:val="3F9B5E29"/>
    <w:rsid w:val="400454FD"/>
    <w:rsid w:val="40552C1F"/>
    <w:rsid w:val="4057229F"/>
    <w:rsid w:val="405F7DEE"/>
    <w:rsid w:val="40992FB0"/>
    <w:rsid w:val="40DB7824"/>
    <w:rsid w:val="410115DD"/>
    <w:rsid w:val="418A21AD"/>
    <w:rsid w:val="41A212A1"/>
    <w:rsid w:val="41EC42BB"/>
    <w:rsid w:val="4239228E"/>
    <w:rsid w:val="428A1304"/>
    <w:rsid w:val="42E44C98"/>
    <w:rsid w:val="43105D20"/>
    <w:rsid w:val="431B6113"/>
    <w:rsid w:val="438834DF"/>
    <w:rsid w:val="43A20A3C"/>
    <w:rsid w:val="440B4462"/>
    <w:rsid w:val="444C66C3"/>
    <w:rsid w:val="44630F9F"/>
    <w:rsid w:val="446A3603"/>
    <w:rsid w:val="44AD6DA5"/>
    <w:rsid w:val="457E5AF9"/>
    <w:rsid w:val="458B573C"/>
    <w:rsid w:val="45CE60A3"/>
    <w:rsid w:val="461C57E1"/>
    <w:rsid w:val="464D2106"/>
    <w:rsid w:val="46572A53"/>
    <w:rsid w:val="465B2718"/>
    <w:rsid w:val="46651F6D"/>
    <w:rsid w:val="46BE763A"/>
    <w:rsid w:val="46C178CC"/>
    <w:rsid w:val="46D0332F"/>
    <w:rsid w:val="46F31024"/>
    <w:rsid w:val="46FD3AFE"/>
    <w:rsid w:val="471E0A34"/>
    <w:rsid w:val="4723739A"/>
    <w:rsid w:val="47250EF5"/>
    <w:rsid w:val="47C21415"/>
    <w:rsid w:val="48206AB3"/>
    <w:rsid w:val="4849652E"/>
    <w:rsid w:val="487415C1"/>
    <w:rsid w:val="48813383"/>
    <w:rsid w:val="48994869"/>
    <w:rsid w:val="489B6E47"/>
    <w:rsid w:val="48B91344"/>
    <w:rsid w:val="48C3403D"/>
    <w:rsid w:val="48E81309"/>
    <w:rsid w:val="48EC5126"/>
    <w:rsid w:val="4901682D"/>
    <w:rsid w:val="491F1E3E"/>
    <w:rsid w:val="497E4D40"/>
    <w:rsid w:val="498D6EB3"/>
    <w:rsid w:val="49A14844"/>
    <w:rsid w:val="4A38329E"/>
    <w:rsid w:val="4A786E7C"/>
    <w:rsid w:val="4A812037"/>
    <w:rsid w:val="4ABF0429"/>
    <w:rsid w:val="4B05514E"/>
    <w:rsid w:val="4B7D224D"/>
    <w:rsid w:val="4B88354F"/>
    <w:rsid w:val="4B897577"/>
    <w:rsid w:val="4BA739F3"/>
    <w:rsid w:val="4BAA41B4"/>
    <w:rsid w:val="4BCA5B3F"/>
    <w:rsid w:val="4BCB2F27"/>
    <w:rsid w:val="4BEF3793"/>
    <w:rsid w:val="4BF4339D"/>
    <w:rsid w:val="4C8B29AF"/>
    <w:rsid w:val="4CA010BB"/>
    <w:rsid w:val="4CBA3F1B"/>
    <w:rsid w:val="4CC1550E"/>
    <w:rsid w:val="4CCB5B06"/>
    <w:rsid w:val="4D0A37F3"/>
    <w:rsid w:val="4D380018"/>
    <w:rsid w:val="4D585803"/>
    <w:rsid w:val="4D7D0483"/>
    <w:rsid w:val="4D8712EF"/>
    <w:rsid w:val="4DFC778B"/>
    <w:rsid w:val="4E2D0EEC"/>
    <w:rsid w:val="4E4C4964"/>
    <w:rsid w:val="4E5F365E"/>
    <w:rsid w:val="4E91728C"/>
    <w:rsid w:val="4EF42EFE"/>
    <w:rsid w:val="4FDE358A"/>
    <w:rsid w:val="501832A3"/>
    <w:rsid w:val="50632B28"/>
    <w:rsid w:val="50C63B0F"/>
    <w:rsid w:val="50F36C04"/>
    <w:rsid w:val="51011AC0"/>
    <w:rsid w:val="51086CD3"/>
    <w:rsid w:val="511B035E"/>
    <w:rsid w:val="512B6610"/>
    <w:rsid w:val="517A3160"/>
    <w:rsid w:val="51C85DF6"/>
    <w:rsid w:val="51D53FD0"/>
    <w:rsid w:val="527F0375"/>
    <w:rsid w:val="528D4348"/>
    <w:rsid w:val="52BF3EA5"/>
    <w:rsid w:val="52E5462F"/>
    <w:rsid w:val="53030193"/>
    <w:rsid w:val="531427EC"/>
    <w:rsid w:val="531C785E"/>
    <w:rsid w:val="533770C8"/>
    <w:rsid w:val="5338243A"/>
    <w:rsid w:val="53BD0CC2"/>
    <w:rsid w:val="53E84DC7"/>
    <w:rsid w:val="54091EFA"/>
    <w:rsid w:val="543B42DA"/>
    <w:rsid w:val="54481E7C"/>
    <w:rsid w:val="54E64A90"/>
    <w:rsid w:val="54EF1C22"/>
    <w:rsid w:val="54F43EB0"/>
    <w:rsid w:val="55025399"/>
    <w:rsid w:val="55631682"/>
    <w:rsid w:val="55913DE9"/>
    <w:rsid w:val="55B36956"/>
    <w:rsid w:val="55BC0A87"/>
    <w:rsid w:val="55C44EE3"/>
    <w:rsid w:val="55CD6DBF"/>
    <w:rsid w:val="55D409AB"/>
    <w:rsid w:val="560E70A6"/>
    <w:rsid w:val="564C33E3"/>
    <w:rsid w:val="565A5E3A"/>
    <w:rsid w:val="56AA311A"/>
    <w:rsid w:val="56B357D4"/>
    <w:rsid w:val="576B630C"/>
    <w:rsid w:val="57906076"/>
    <w:rsid w:val="57F77E8D"/>
    <w:rsid w:val="584101D8"/>
    <w:rsid w:val="584366A5"/>
    <w:rsid w:val="58464AEC"/>
    <w:rsid w:val="58D37D03"/>
    <w:rsid w:val="58F80B81"/>
    <w:rsid w:val="59171D29"/>
    <w:rsid w:val="594B64BC"/>
    <w:rsid w:val="59715563"/>
    <w:rsid w:val="59C1394B"/>
    <w:rsid w:val="59E4333B"/>
    <w:rsid w:val="5A327175"/>
    <w:rsid w:val="5A3C53BA"/>
    <w:rsid w:val="5A461F67"/>
    <w:rsid w:val="5A4D12DB"/>
    <w:rsid w:val="5AA95942"/>
    <w:rsid w:val="5B016997"/>
    <w:rsid w:val="5B9A1A90"/>
    <w:rsid w:val="5BEA616D"/>
    <w:rsid w:val="5C620610"/>
    <w:rsid w:val="5C7C27CC"/>
    <w:rsid w:val="5C8E6646"/>
    <w:rsid w:val="5CA1473C"/>
    <w:rsid w:val="5D743AF2"/>
    <w:rsid w:val="5D784DB7"/>
    <w:rsid w:val="5D804113"/>
    <w:rsid w:val="5D86298B"/>
    <w:rsid w:val="5DF574B1"/>
    <w:rsid w:val="5E01598A"/>
    <w:rsid w:val="5E0518AE"/>
    <w:rsid w:val="5E7319C7"/>
    <w:rsid w:val="5F3D0BEE"/>
    <w:rsid w:val="5F3F14B1"/>
    <w:rsid w:val="5F4A1944"/>
    <w:rsid w:val="5F736A1C"/>
    <w:rsid w:val="5F7C1524"/>
    <w:rsid w:val="5FDD13F3"/>
    <w:rsid w:val="60DB7494"/>
    <w:rsid w:val="6131725B"/>
    <w:rsid w:val="61431576"/>
    <w:rsid w:val="61B07674"/>
    <w:rsid w:val="61D16983"/>
    <w:rsid w:val="62380A59"/>
    <w:rsid w:val="62AF7820"/>
    <w:rsid w:val="63B16DA6"/>
    <w:rsid w:val="64325BAA"/>
    <w:rsid w:val="6474563E"/>
    <w:rsid w:val="64DD2E2F"/>
    <w:rsid w:val="65001DB6"/>
    <w:rsid w:val="650C79CC"/>
    <w:rsid w:val="651F0B40"/>
    <w:rsid w:val="654A3BA1"/>
    <w:rsid w:val="65720792"/>
    <w:rsid w:val="65727ED4"/>
    <w:rsid w:val="65834102"/>
    <w:rsid w:val="658D11B9"/>
    <w:rsid w:val="65A15618"/>
    <w:rsid w:val="65F649E0"/>
    <w:rsid w:val="660467A7"/>
    <w:rsid w:val="66471D7C"/>
    <w:rsid w:val="667D6EFB"/>
    <w:rsid w:val="667E6B81"/>
    <w:rsid w:val="66FD7813"/>
    <w:rsid w:val="67825ED9"/>
    <w:rsid w:val="67A0385B"/>
    <w:rsid w:val="67B37940"/>
    <w:rsid w:val="686C2A53"/>
    <w:rsid w:val="689C4BB9"/>
    <w:rsid w:val="68A245E2"/>
    <w:rsid w:val="68B0544A"/>
    <w:rsid w:val="690F3CAF"/>
    <w:rsid w:val="6A0C28CE"/>
    <w:rsid w:val="6A650A4D"/>
    <w:rsid w:val="6B7060C6"/>
    <w:rsid w:val="6C60029B"/>
    <w:rsid w:val="6C927168"/>
    <w:rsid w:val="6D3D3EBB"/>
    <w:rsid w:val="6D8C5247"/>
    <w:rsid w:val="6DBE1648"/>
    <w:rsid w:val="6E525121"/>
    <w:rsid w:val="6E904287"/>
    <w:rsid w:val="6EA83056"/>
    <w:rsid w:val="6EB55F1D"/>
    <w:rsid w:val="6EBE51FD"/>
    <w:rsid w:val="6EF364B6"/>
    <w:rsid w:val="6F2540A9"/>
    <w:rsid w:val="700B56BF"/>
    <w:rsid w:val="700F5C73"/>
    <w:rsid w:val="70817FC6"/>
    <w:rsid w:val="7097556E"/>
    <w:rsid w:val="70AF0E0B"/>
    <w:rsid w:val="70C87CAA"/>
    <w:rsid w:val="70CF179B"/>
    <w:rsid w:val="70E71CBF"/>
    <w:rsid w:val="71723BF8"/>
    <w:rsid w:val="71B459C5"/>
    <w:rsid w:val="71CB4143"/>
    <w:rsid w:val="721C092E"/>
    <w:rsid w:val="723D7934"/>
    <w:rsid w:val="727266B8"/>
    <w:rsid w:val="72804A5F"/>
    <w:rsid w:val="72C81D24"/>
    <w:rsid w:val="73510736"/>
    <w:rsid w:val="73772C48"/>
    <w:rsid w:val="73B34B68"/>
    <w:rsid w:val="73C87749"/>
    <w:rsid w:val="742D20BE"/>
    <w:rsid w:val="74300B51"/>
    <w:rsid w:val="74373E1F"/>
    <w:rsid w:val="74557B08"/>
    <w:rsid w:val="745909D3"/>
    <w:rsid w:val="74757604"/>
    <w:rsid w:val="756026FD"/>
    <w:rsid w:val="757027FD"/>
    <w:rsid w:val="764C7835"/>
    <w:rsid w:val="76546FC4"/>
    <w:rsid w:val="76606237"/>
    <w:rsid w:val="76BC0040"/>
    <w:rsid w:val="76E97240"/>
    <w:rsid w:val="77547F95"/>
    <w:rsid w:val="77581BDC"/>
    <w:rsid w:val="77DF77F2"/>
    <w:rsid w:val="77F53FBA"/>
    <w:rsid w:val="77FE3901"/>
    <w:rsid w:val="78A056D5"/>
    <w:rsid w:val="78B612F9"/>
    <w:rsid w:val="78B86F01"/>
    <w:rsid w:val="78BD180A"/>
    <w:rsid w:val="78BD2213"/>
    <w:rsid w:val="78CA62AD"/>
    <w:rsid w:val="78DA7E04"/>
    <w:rsid w:val="79383F91"/>
    <w:rsid w:val="796C56F2"/>
    <w:rsid w:val="797577C4"/>
    <w:rsid w:val="79DA4CD9"/>
    <w:rsid w:val="79DC3C10"/>
    <w:rsid w:val="79F32D29"/>
    <w:rsid w:val="7A3031E0"/>
    <w:rsid w:val="7A5F3AF6"/>
    <w:rsid w:val="7A640644"/>
    <w:rsid w:val="7A66765A"/>
    <w:rsid w:val="7AB07AB2"/>
    <w:rsid w:val="7B7C3CE3"/>
    <w:rsid w:val="7B84301F"/>
    <w:rsid w:val="7B937DA9"/>
    <w:rsid w:val="7BB813CF"/>
    <w:rsid w:val="7BF81BC1"/>
    <w:rsid w:val="7BFB159A"/>
    <w:rsid w:val="7C240326"/>
    <w:rsid w:val="7C5365EF"/>
    <w:rsid w:val="7C5F4A2B"/>
    <w:rsid w:val="7C6E6F9B"/>
    <w:rsid w:val="7C724B1A"/>
    <w:rsid w:val="7DDB79A8"/>
    <w:rsid w:val="7DE6477E"/>
    <w:rsid w:val="7E0244D4"/>
    <w:rsid w:val="7E17286F"/>
    <w:rsid w:val="7E1F8D3F"/>
    <w:rsid w:val="7E265B35"/>
    <w:rsid w:val="7E395726"/>
    <w:rsid w:val="7E54076D"/>
    <w:rsid w:val="7E58680B"/>
    <w:rsid w:val="7E7969B2"/>
    <w:rsid w:val="7E836D97"/>
    <w:rsid w:val="7E8E73EF"/>
    <w:rsid w:val="7ED024BA"/>
    <w:rsid w:val="7EF23A73"/>
    <w:rsid w:val="7F523D4E"/>
    <w:rsid w:val="7F7D4793"/>
    <w:rsid w:val="F3FD6B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paragraph" w:styleId="9">
    <w:name w:val="List Paragraph"/>
    <w:basedOn w:val="1"/>
    <w:qFormat/>
    <w:uiPriority w:val="34"/>
    <w:pPr>
      <w:ind w:firstLine="420" w:firstLineChars="200"/>
    </w:pPr>
  </w:style>
  <w:style w:type="paragraph" w:customStyle="1" w:styleId="10">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11">
    <w:name w:val="页眉 字符"/>
    <w:link w:val="4"/>
    <w:qFormat/>
    <w:uiPriority w:val="99"/>
    <w:rPr>
      <w:sz w:val="18"/>
      <w:szCs w:val="18"/>
    </w:rPr>
  </w:style>
  <w:style w:type="character" w:customStyle="1" w:styleId="12">
    <w:name w:val="页脚 字符"/>
    <w:link w:val="3"/>
    <w:qFormat/>
    <w:uiPriority w:val="99"/>
    <w:rPr>
      <w:sz w:val="18"/>
      <w:szCs w:val="18"/>
    </w:rPr>
  </w:style>
  <w:style w:type="character" w:customStyle="1" w:styleId="13">
    <w:name w:val="批注框文本 字符"/>
    <w:link w:val="2"/>
    <w:semiHidden/>
    <w:qFormat/>
    <w:uiPriority w:val="99"/>
    <w:rPr>
      <w:kern w:val="2"/>
      <w:sz w:val="18"/>
      <w:szCs w:val="18"/>
    </w:rPr>
  </w:style>
  <w:style w:type="character" w:customStyle="1" w:styleId="14">
    <w:name w:val="23"/>
    <w:basedOn w:val="7"/>
    <w:qFormat/>
    <w:uiPriority w:val="0"/>
    <w:rPr>
      <w:rFonts w:hint="default" w:ascii="Times New Roman" w:hAnsi="Times New Roman" w:cs="Times New Roman"/>
      <w:b/>
    </w:rPr>
  </w:style>
  <w:style w:type="character" w:customStyle="1" w:styleId="15">
    <w:name w:val="页脚 Char"/>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1882</Words>
  <Characters>1942</Characters>
  <Lines>16</Lines>
  <Paragraphs>4</Paragraphs>
  <TotalTime>3</TotalTime>
  <ScaleCrop>false</ScaleCrop>
  <LinksUpToDate>false</LinksUpToDate>
  <CharactersWithSpaces>1947</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2021-07-06T22:32:00Z</dcterms:created>
  <dc:creator>微软用户</dc:creator>
  <cp:lastModifiedBy>uos</cp:lastModifiedBy>
  <cp:lastPrinted>2023-08-10T17:16:00Z</cp:lastPrinted>
  <dcterms:modified xsi:type="dcterms:W3CDTF">2025-08-21T11:47:41Z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C5C051BE58ED47B681D748640379E264</vt:lpwstr>
  </property>
</Properties>
</file>