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atLeast"/>
        <w:ind w:left="0" w:right="0"/>
        <w:jc w:val="center"/>
        <w:textAlignment w:val="auto"/>
        <w:rPr>
          <w:rFonts w:ascii="方正仿宋_GBK" w:eastAsia="方正仿宋_GBK" w:cs="方正仿宋_GBK"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atLeast"/>
        <w:ind w:left="0" w:right="0"/>
        <w:jc w:val="center"/>
        <w:textAlignment w:val="auto"/>
        <w:rPr>
          <w:rFonts w:ascii="方正仿宋_GBK" w:eastAsia="方正仿宋_GBK" w:cs="方正仿宋_GBK" w:hint="eastAsia"/>
          <w:sz w:val="32"/>
          <w:szCs w:val="32"/>
          <w:lang w:eastAsia="zh-CN"/>
        </w:rPr>
      </w:pPr>
      <w:r>
        <w:rPr>
          <w:rFonts w:ascii="方正仿宋_GBK" w:eastAsia="方正仿宋_GBK" w:cs="方正仿宋_GBK" w:hint="eastAsia"/>
          <w:sz w:val="32"/>
          <w:szCs w:val="32"/>
          <w:lang w:eastAsia="zh-CN"/>
        </w:rPr>
        <w:t xml:space="preserve"> </w:t>
      </w:r>
    </w:p>
    <w:p>
      <w:pPr>
        <w:spacing w:line="540" w:lineRule="exact"/>
        <w:jc w:val="center"/>
        <w:rPr>
          <w:rFonts w:ascii="宋体" w:eastAsia="方正小标宋_GBK" w:hAnsi="宋体" w:hint="eastAsia"/>
          <w:sz w:val="44"/>
          <w:szCs w:val="44"/>
        </w:rPr>
      </w:pPr>
      <w:r>
        <w:rPr>
          <w:rFonts w:ascii="宋体" w:eastAsia="方正小标宋_GBK" w:hAnsi="宋体" w:hint="eastAsia"/>
          <w:sz w:val="44"/>
          <w:szCs w:val="44"/>
        </w:rPr>
        <w:t>重庆市江津区国有资产监督管理委员会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</w:pPr>
      <w:r>
        <w:rPr>
          <w:rFonts w:ascii="方正小标宋_GBK" w:eastAsia="方正小标宋_GBK" w:hint="eastAsia"/>
          <w:sz w:val="44"/>
          <w:szCs w:val="44"/>
        </w:rPr>
        <w:t>关于废止部分行政规范性文件的通知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/>
        <w:jc w:val="center"/>
        <w:textAlignment w:val="auto"/>
        <w:rPr>
          <w:rFonts w:ascii="Times New Roman" w:eastAsia="方正仿宋_GBK" w:cs="Times New Roman" w:hAnsi="Times New Roman"/>
          <w:i w:val="0"/>
          <w:caps w:val="0"/>
          <w:small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ascii="Times New Roman" w:eastAsia="方正仿宋_GBK" w:hAnsi="Times New Roman" w:hint="eastAsia"/>
          <w:sz w:val="32"/>
          <w:szCs w:val="32"/>
        </w:rPr>
        <w:t>津国资发〔20</w:t>
      </w:r>
      <w:r>
        <w:rPr>
          <w:rFonts w:ascii="Times New Roman" w:eastAsia="方正仿宋_GBK" w:hAnsi="Times New Roman"/>
          <w:sz w:val="32"/>
          <w:szCs w:val="32"/>
        </w:rPr>
        <w:t>23</w:t>
      </w:r>
      <w:r>
        <w:rPr>
          <w:rFonts w:ascii="Times New Roman" w:eastAsia="方正仿宋_GBK" w:hAnsi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/>
          <w:sz w:val="32"/>
          <w:szCs w:val="32"/>
        </w:rPr>
        <w:t>111</w:t>
      </w:r>
      <w:r>
        <w:rPr>
          <w:rFonts w:ascii="Times New Roman" w:eastAsia="方正仿宋_GBK" w:hAnsi="Times New Roman" w:hint="eastAsia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left="0" w:right="0"/>
        <w:jc w:val="center"/>
        <w:textAlignment w:val="auto"/>
        <w:rPr>
          <w:rFonts w:ascii="宋体" w:eastAsia="宋体" w:cs="宋体" w:hint="eastAsia"/>
          <w:i w:val="0"/>
          <w:caps w:val="0"/>
          <w:small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spacing w:line="600" w:lineRule="exact"/>
        <w:rPr>
          <w:rFonts w:ascii="宋体" w:eastAsia="方正仿宋_GBK" w:hAnsi="宋体" w:hint="eastAsia"/>
          <w:sz w:val="32"/>
          <w:szCs w:val="32"/>
        </w:rPr>
      </w:pPr>
      <w:r>
        <w:rPr>
          <w:rFonts w:ascii="宋体" w:eastAsia="方正仿宋_GBK" w:hAnsi="宋体"/>
          <w:sz w:val="32"/>
          <w:szCs w:val="32"/>
        </w:rPr>
        <w:t>各有关单位</w:t>
      </w:r>
      <w:r>
        <w:rPr>
          <w:rFonts w:ascii="宋体" w:eastAsia="方正仿宋_GBK" w:hAnsi="宋体" w:hint="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方正仿宋_GBK" w:cs="方正仿宋_GBK" w:hAnsi="Times New Roman" w:hint="eastAsia"/>
          <w:sz w:val="32"/>
          <w:szCs w:val="32"/>
          <w:lang w:bidi="ar-SA"/>
        </w:rPr>
      </w:pPr>
      <w:r>
        <w:rPr>
          <w:rFonts w:ascii="Times New Roman" w:eastAsia="方正仿宋_GBK" w:cs="方正仿宋_GBK" w:hAnsi="Times New Roman" w:hint="eastAsia"/>
          <w:sz w:val="32"/>
          <w:szCs w:val="32"/>
          <w:lang w:bidi="ar-SA"/>
        </w:rPr>
        <w:t>根据《重庆市行政规范性文件管理办法》（重庆市人民政府令第329号）规定，</w:t>
      </w:r>
      <w:r>
        <w:rPr>
          <w:rFonts w:ascii="Times New Roman" w:eastAsia="方正仿宋_GBK" w:cs="方正仿宋_GBK" w:hAnsi="Times New Roman" w:hint="eastAsia"/>
          <w:sz w:val="32"/>
          <w:szCs w:val="32"/>
          <w:lang w:eastAsia="zh-CN" w:bidi="ar-SA"/>
        </w:rPr>
        <w:t>现</w:t>
      </w:r>
      <w:r>
        <w:rPr>
          <w:rFonts w:ascii="Times New Roman" w:eastAsia="方正仿宋_GBK" w:cs="方正仿宋_GBK" w:hAnsi="Times New Roman" w:hint="eastAsia"/>
          <w:sz w:val="32"/>
          <w:szCs w:val="32"/>
          <w:lang w:bidi="ar-SA"/>
        </w:rPr>
        <w:t>决定将</w:t>
      </w:r>
      <w:r>
        <w:rPr>
          <w:rFonts w:ascii="Times New Roman" w:eastAsia="方正仿宋_GBK" w:hAnsi="Times New Roman" w:hint="eastAsia"/>
          <w:sz w:val="32"/>
          <w:szCs w:val="32"/>
        </w:rPr>
        <w:t>《重庆市江津区国有资产监督管理委员会关于做好2022年全区行政事业单位房屋租金减免有关事项的通知》（津国资发〔2022〕38号）</w:t>
      </w:r>
      <w:r>
        <w:rPr>
          <w:rFonts w:ascii="Times New Roman" w:eastAsia="方正仿宋_GBK" w:hAnsi="Times New Roman" w:hint="eastAsia"/>
          <w:sz w:val="32"/>
          <w:szCs w:val="32"/>
          <w:lang w:val="en-US" w:eastAsia="zh-CN"/>
        </w:rPr>
        <w:t>《</w:t>
      </w:r>
      <w:r>
        <w:rPr>
          <w:rFonts w:ascii="Times New Roman" w:eastAsia="方正仿宋_GBK" w:hAnsi="Times New Roman" w:hint="eastAsia"/>
          <w:sz w:val="32"/>
          <w:szCs w:val="32"/>
        </w:rPr>
        <w:t>重庆市江津区国有资产监督管理委员会</w:t>
      </w:r>
      <w:r>
        <w:rPr>
          <w:rFonts w:ascii="Times New Roman" w:eastAsia="方正仿宋_GBK" w:hAnsi="Times New Roman" w:hint="eastAsia"/>
          <w:sz w:val="32"/>
          <w:szCs w:val="32"/>
          <w:lang w:val="en-US" w:eastAsia="zh-CN"/>
        </w:rPr>
        <w:t>关于全区行政事业单位房屋租金减免6个月等有关事项的通知》（津国资发〔2022〕83号）</w:t>
      </w:r>
      <w:r>
        <w:rPr>
          <w:rFonts w:ascii="Times New Roman" w:eastAsia="方正仿宋_GBK" w:cs="方正仿宋_GBK" w:hAnsi="Times New Roman" w:hint="eastAsia"/>
          <w:sz w:val="32"/>
          <w:szCs w:val="32"/>
          <w:lang w:bidi="ar-SA"/>
        </w:rPr>
        <w:t>予以废止。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Chars="200" w:firstLine="640"/>
        <w:jc w:val="both"/>
        <w:textAlignment w:val="auto"/>
        <w:outlineLvl w:val="9"/>
        <w:rPr>
          <w:rFonts w:ascii="Times New Roman" w:eastAsia="方正仿宋_GBK" w:cs="方正仿宋_GBK" w:hAnsi="Times New Roman" w:hint="eastAsia"/>
          <w:sz w:val="32"/>
          <w:szCs w:val="32"/>
          <w:lang w:val="en-US" w:eastAsia="zh-CN" w:bidi="ar-SA"/>
        </w:rPr>
      </w:pPr>
      <w:r>
        <w:rPr>
          <w:rFonts w:ascii="Times New Roman" w:eastAsia="方正仿宋_GBK" w:cs="方正仿宋_GBK" w:hAnsi="Times New Roman" w:hint="eastAsia"/>
          <w:sz w:val="32"/>
          <w:szCs w:val="32"/>
          <w:lang w:bidi="ar-SA"/>
        </w:rPr>
        <w:t>本通知自公布之日起施行。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Chars="200" w:firstLine="640"/>
        <w:jc w:val="center"/>
        <w:textAlignment w:val="auto"/>
        <w:rPr>
          <w:rFonts w:ascii="方正仿宋_GBK" w:eastAsia="方正仿宋_GBK" w:cs="方正仿宋_GBK" w:hint="eastAsia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Chars="700" w:firstLine="2240"/>
        <w:jc w:val="right"/>
        <w:textAlignment w:val="auto"/>
        <w:rPr>
          <w:rFonts w:asci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宋体" w:eastAsia="方正仿宋_GBK" w:hAnsi="宋体" w:hint="eastAsia"/>
          <w:color w:val="000000"/>
          <w:sz w:val="32"/>
          <w:szCs w:val="32"/>
        </w:rPr>
        <w:t>重庆市江津区国有资产监督管理委员会</w:t>
      </w:r>
      <w:r>
        <w:rPr>
          <w:rFonts w:ascii="宋体" w:eastAsia="方正仿宋_GBK" w:hAnsi="宋体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Chars="1400" w:firstLine="4480"/>
        <w:jc w:val="left"/>
        <w:textAlignment w:val="auto"/>
        <w:rPr>
          <w:rFonts w:ascii="Times New Roman" w:eastAsia="方正仿宋_GBK" w:cs="方正仿宋_GBK" w:hAnsi="Times New Roman" w:hint="eastAsia"/>
          <w:sz w:val="32"/>
          <w:szCs w:val="32"/>
          <w:lang w:val="en-US" w:eastAsia="zh-CN" w:bidi="ar-SA"/>
        </w:rPr>
      </w:pPr>
      <w:r>
        <w:rPr>
          <w:rFonts w:ascii="Times New Roman" w:eastAsia="方正仿宋_GBK" w:cs="方正仿宋_GBK" w:hAnsi="Times New Roman" w:hint="eastAsia"/>
          <w:sz w:val="32"/>
          <w:szCs w:val="32"/>
          <w:lang w:val="en-US" w:eastAsia="zh-CN" w:bidi="ar-SA"/>
        </w:rPr>
        <w:t>2023年7月19日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adjustRightInd/>
        <w:snapToGrid/>
        <w:spacing w:line="600" w:lineRule="exact"/>
        <w:ind w:left="0" w:firstLineChars="200" w:firstLine="640"/>
        <w:rPr>
          <w:rFonts w:ascii="Times New Roman" w:eastAsia="方正仿宋_GBK" w:cs="Arial" w:hAnsi="Times New Roman" w:hint="eastAsia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ascii="方正仿宋_GBK" w:eastAsia="方正仿宋_GBK" w:cs="方正仿宋_GBK" w:hint="eastAsia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  <w:bookmarkStart w:id="0" w:name="_GoBack"/>
      <w:bookmarkEnd w:id="0"/>
    </w:p>
    <w:sectPr>
      <w:headerReference w:type="default" r:id="rId2"/>
      <w:footerReference w:type="default" r:id="rId3"/>
      <w:pgSz w:w="11907" w:h="16840"/>
      <w:pgMar w:top="1474" w:right="1848" w:bottom="1588" w:left="1962" w:header="851" w:footer="992" w:gutter="0"/>
      <w:pgNumType w:fmt="numberInDash"/>
      <w:docGrid w:type="lines" w:linePitch="31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1"/>
    <w:family w:val="roman"/>
    <w:pitch w:val="variable"/>
    <w:sig w:usb0="E0002AFF" w:usb1="C0007841" w:usb2="00000009" w:usb3="00000000" w:csb0="400001FF" w:csb1="FFFF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7"/>
      <w:tabs>
        <w:tab w:val="center" w:pos="4153"/>
        <w:tab w:val="right" w:pos="8306"/>
      </w:tabs>
      <w:ind w:leftChars="2280" w:left="4788" w:firstLineChars="2000" w:firstLine="6400"/>
      <w:rPr>
        <w:sz w:val="32"/>
      </w:rPr>
    </w:pPr>
    <w:r>
      <w:rPr>
        <w:sz w:val="32"/>
      </w:rPr>
      <mc:AlternateContent>
        <mc:Choice Requires="wps">
          <w:drawing>
            <wp:anchor distT="0" distB="0" distL="114298" distR="114298" simplePos="0" relativeHeight="16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499" cy="230251"/>
              <wp:effectExtent l="0" t="0" r="0" b="0"/>
              <wp:wrapNone/>
              <wp:docPr id="6" name="文本框 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4499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7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8" o:spid="_x0000_s8" filled="f" stroked="f" strokeweight="0.5pt" style="position:absolute;margin-left:0.0pt;margin-top:0.0pt;width:34.999996pt;height:18.130003pt;z-index:16;mso-position-horizontal:outside;mso-position-horizontal-relative:margin;mso-position-vertical:absolute;mso-wrap-distance-left:8.999863pt;mso-wrap-distance-right:8.999863pt;mso-wrap-style:none;">
              <v:stroke color="#000000"/>
              <v:textbox id="851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  <w:tabs>
        <w:tab w:val="center" w:pos="4153"/>
        <w:tab w:val="right" w:pos="8306"/>
      </w:tabs>
      <w:ind w:leftChars="2280" w:left="4788" w:firstLineChars="2000" w:firstLine="64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column">
                <wp:posOffset>-102875</wp:posOffset>
              </wp:positionH>
              <wp:positionV relativeFrom="paragraph">
                <wp:posOffset>158522</wp:posOffset>
              </wp:positionV>
              <wp:extent cx="5334005" cy="0"/>
              <wp:effectExtent l="0" t="0" r="0" b="0"/>
              <wp:wrapNone/>
              <wp:docPr id="9" name="直线 9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flipV="1" rot="21600000">
                        <a:off x="0" y="0"/>
                        <a:ext cx="5334005" cy="0"/>
                      </a:xfrm>
                      <a:prstGeom prst="line"/>
                      <a:noFill/>
                      <a:ln w="22225" cmpd="sng" cap="flat">
                        <a:solidFill>
                          <a:srgbClr val="005192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type="#_x0000_t20" id="直线 10" o:spid="_x0000_s10" from="-8.100406pt,12.482064pt" to="411.90002pt,12.48211pt" filled="f" stroked="t" strokeweight="1.75pt" style="position:absolute;flip:y;z-index:15;mso-position-horizontal:absolute;mso-position-vertical:absolute;mso-wrap-distance-left:8.999863pt;mso-wrap-distance-right:8.999863pt;">
              <v:stroke color="#005192"/>
            </v:line>
          </w:pict>
        </mc:Fallback>
      </mc:AlternateContent>
    </w:r>
  </w:p>
  <w:p>
    <w:pPr>
      <w:pStyle w:val="17"/>
      <w:tabs>
        <w:tab w:val="center" w:pos="4153"/>
        <w:tab w:val="right" w:pos="8306"/>
      </w:tabs>
      <w:wordWrap w:val="0"/>
      <w:jc w:val="right"/>
      <w:rPr>
        <w:rFonts w:ascii="宋体" w:eastAsia="宋体" w:cs="宋体" w:hint="eastAsia"/>
        <w:b/>
        <w:bCs/>
        <w:color w:val="005192"/>
        <w:sz w:val="28"/>
        <w:szCs w:val="44"/>
        <w:lang w:val="en-US" w:eastAsia="zh-CN"/>
      </w:rPr>
    </w:pPr>
    <w:r>
      <w:rPr>
        <w:rFonts w:ascii="宋体" w:eastAsia="宋体" w:cs="宋体" w:hint="eastAsia"/>
        <w:b/>
        <w:bCs/>
        <w:color w:val="005192"/>
        <w:sz w:val="28"/>
        <w:szCs w:val="28"/>
        <w:lang w:eastAsia="zh-CN"/>
      </w:rPr>
      <w:t>重庆市江津区国有资产监督管理委员会</w:t>
    </w:r>
    <w:r>
      <w:rPr>
        <w:rFonts w:ascii="宋体" w:eastAsia="宋体" w:cs="宋体"/>
        <w:b/>
        <w:bCs/>
        <w:color w:val="005192"/>
        <w:sz w:val="28"/>
        <w:szCs w:val="44"/>
        <w:lang w:eastAsia="zh-CN"/>
      </w:rPr>
      <w:t xml:space="preserve">     </w: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7"/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ascii="宋体" w:eastAsia="宋体" w:cs="宋体" w:hint="eastAsia"/>
        <w:b/>
        <w:bCs/>
        <w:color w:val="005192"/>
        <w:sz w:val="32"/>
        <w:szCs w:val="32"/>
        <w:lang w:val="en-US" w:eastAsia="zh-CN"/>
      </w:rPr>
    </w:pPr>
    <w:r>
      <w:rPr>
        <w:rFonts w:ascii="方正仿宋_GBK" w:eastAsia="方正仿宋_GBK" w:cs="方正仿宋_GBK" w:hint="eastAsia"/>
        <w:b/>
        <w:bCs/>
        <w:color w:val="000000"/>
        <w:sz w:val="32"/>
        <w14:textFill>
          <w14:solidFill>
            <w14:srgbClr w14:val="000000"/>
          </w14:solidFill>
        </w14:textFill>
      </w:rPr>
      <mc:AlternateContent>
        <mc:Choice Requires="wps">
          <w:drawing>
            <wp:anchor distT="0" distB="0" distL="114298" distR="114298" simplePos="0" relativeHeight="14" behindDoc="0" locked="0" layoutInCell="1" hidden="0" allowOverlap="1">
              <wp:simplePos x="0" y="0"/>
              <wp:positionH relativeFrom="column">
                <wp:posOffset>-405126</wp:posOffset>
              </wp:positionH>
              <wp:positionV relativeFrom="paragraph">
                <wp:posOffset>463232</wp:posOffset>
              </wp:positionV>
              <wp:extent cx="5902960" cy="11112"/>
              <wp:effectExtent l="0" t="0" r="0" b="0"/>
              <wp:wrapNone/>
              <wp:docPr id="1" name="直线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flipV="1" rot="21600000">
                        <a:off x="0" y="0"/>
                        <a:ext cx="5902960" cy="11112"/>
                      </a:xfrm>
                      <a:prstGeom prst="line"/>
                      <a:noFill/>
                      <a:ln w="22225" cmpd="sng" cap="flat">
                        <a:solidFill>
                          <a:srgbClr val="005192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type="#_x0000_t20" id="直线 2" o:spid="_x0000_s2" from="-31.899725pt,36.474995pt" to="432.9003pt,37.350002pt" filled="f" stroked="t" strokeweight="1.75pt" style="position:absolute;flip:y;z-index:14;mso-position-horizontal:absolute;mso-position-vertical:absolute;mso-wrap-distance-left:8.999863pt;mso-wrap-distance-right:8.999863pt;">
              <v:stroke color="#005192"/>
            </v:line>
          </w:pict>
        </mc:Fallback>
      </mc:AlternateContent>
    </w:r>
    <w:r>
      <w:rPr>
        <w:rFonts w:ascii="宋体" w:eastAsia="宋体" w:cs="宋体" w:hint="eastAsia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0" b="0"/>
          <wp:docPr id="3" name="图片 3" descr="国徽1024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" name="图片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308610" cy="308610"/>
                  </a:xfrm>
                  <a:prstGeom prst="rect"/>
                  <a:noFill/>
                  <a:ln w="9525" cmpd="sng" cap="flat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  <w:r>
      <w:rPr>
        <w:rFonts w:ascii="宋体" w:eastAsia="宋体" w:cs="宋体" w:hint="eastAsia"/>
        <w:b/>
        <w:bCs/>
        <w:color w:val="005192"/>
        <w:sz w:val="32"/>
        <w:lang w:eastAsia="zh-CN"/>
      </w:rPr>
      <w:t>重庆市江津区国有资产监督管理委员会</w:t>
    </w:r>
    <w:r>
      <w:rPr>
        <w:rFonts w:ascii="宋体" w:eastAsia="宋体" w:cs="宋体" w:hint="eastAsia"/>
        <w:b/>
        <w:bCs/>
        <w:color w:val="005192"/>
        <w:sz w:val="32"/>
        <w:szCs w:val="32"/>
        <w:lang w:val="en-US"/>
      </w:rPr>
      <w:t>规范性文件</w:t>
    </w: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5"/>
  <w:bordersDoNotSurroundHeader w:val="0"/>
  <w:bordersDoNotSurroundFooter w:val="0"/>
  <w:defaultTabStop w:val="420"/>
  <w:drawingGridHorizontalSpacing w:val="105"/>
  <w:drawingGridVerticalSpacing w:val="158"/>
  <w:displayHorizontalDrawingGridEvery w:val="1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YjM0NjkxOTY0ZjFkMmZmYzU2MWU2NjIyNmQ1YTBlMW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4">
    <w:name w:val="heading 4"/>
    <w:basedOn w:val="0"/>
    <w:next w:val="0"/>
    <w:pPr>
      <w:keepNext/>
      <w:keepLines/>
      <w:widowControl w:val="0"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9">
    <w:name w:val="Strong"/>
    <w:basedOn w:val="10"/>
    <w:rPr>
      <w:b/>
      <w:bCs/>
    </w:rPr>
  </w:style>
  <w:style w:type="paragraph" w:customStyle="1" w:styleId="20">
    <w:name w:val="p0"/>
    <w:basedOn w:val="0"/>
    <w:pPr>
      <w:widowControl/>
    </w:pPr>
    <w:rPr>
      <w:rFonts w:ascii="Calibri" w:eastAsia="宋体" w:cs="宋体" w:hAnsi="Calibri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4.png"/></Relationships>
</file>

<file path=docProps/app.xml><?xml version="1.0" encoding="utf-8"?>
<Properties xmlns="http://schemas.openxmlformats.org/officeDocument/2006/extended-properties">
  <Template>Normal.eit</Template>
  <TotalTime>8</TotalTime>
  <Application>Yozo_Office</Application>
  <Pages>1</Pages>
  <Words>248</Words>
  <Characters>270</Characters>
  <Lines>19</Lines>
  <Paragraphs>9</Paragraphs>
  <CharactersWithSpaces>274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</dc:creator>
  <cp:lastModifiedBy>Windows 用户</cp:lastModifiedBy>
  <cp:revision>1</cp:revision>
  <cp:lastPrinted>2022-06-06T16:09:00Z</cp:lastPrinted>
  <dcterms:created xsi:type="dcterms:W3CDTF">2021-09-11T02:41:00Z</dcterms:created>
  <dcterms:modified xsi:type="dcterms:W3CDTF">2023-07-21T08:16:40Z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48C61CB29D3F4D9384F5922CF0F7FFB4</vt:lpwstr>
  </property>
</Properties>
</file>