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Fonts w:ascii="Times New Roman" w:hAnsi="Times New Roman"/>
        </w:rPr>
      </w:pPr>
    </w:p>
    <w:p>
      <w:pPr>
        <w:pStyle w:val="11"/>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Fonts w:ascii="Times New Roman" w:hAnsi="Times New Roman"/>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line="540" w:lineRule="exact"/>
        <w:ind w:left="0" w:firstLine="0"/>
        <w:jc w:val="center"/>
        <w:textAlignment w:val="auto"/>
        <w:rPr>
          <w:rFonts w:hint="eastAsia" w:ascii="宋体" w:hAnsi="宋体" w:eastAsia="方正小标宋_GBK"/>
          <w:sz w:val="44"/>
        </w:rPr>
      </w:pPr>
      <w:r>
        <w:rPr>
          <w:rFonts w:hint="eastAsia" w:ascii="宋体" w:hAnsi="宋体" w:eastAsia="方正小标宋_GBK"/>
          <w:sz w:val="44"/>
        </w:rPr>
        <w:t>重庆市江津区财政局</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40" w:lineRule="exact"/>
        <w:ind w:left="0" w:firstLine="0"/>
        <w:jc w:val="center"/>
        <w:textAlignment w:val="auto"/>
        <w:rPr>
          <w:rFonts w:hint="eastAsia" w:ascii="宋体" w:hAnsi="宋体" w:eastAsia="方正小标宋_GBK"/>
          <w:sz w:val="44"/>
          <w:lang w:val="en-US" w:eastAsia="zh-CN"/>
        </w:rPr>
      </w:pPr>
      <w:r>
        <w:rPr>
          <w:rFonts w:hint="eastAsia" w:ascii="宋体" w:hAnsi="宋体" w:eastAsia="方正小标宋_GBK"/>
          <w:sz w:val="44"/>
          <w:lang w:val="en-US" w:eastAsia="zh-CN"/>
        </w:rPr>
        <w:t>重庆市江津区国有资产监督管理委员会</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40" w:lineRule="exact"/>
        <w:ind w:left="0" w:firstLine="0"/>
        <w:jc w:val="center"/>
        <w:textAlignment w:val="auto"/>
        <w:rPr>
          <w:rFonts w:hint="eastAsia" w:ascii="宋体" w:hAnsi="宋体" w:eastAsia="方正小标宋_GBK"/>
          <w:sz w:val="44"/>
        </w:rPr>
      </w:pPr>
      <w:r>
        <w:rPr>
          <w:rFonts w:hint="eastAsia" w:ascii="宋体" w:hAnsi="宋体" w:eastAsia="方正小标宋_GBK"/>
          <w:sz w:val="44"/>
          <w:lang w:val="en-US" w:eastAsia="zh-CN"/>
        </w:rPr>
        <w:t>重庆市江津区审计局</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40" w:lineRule="exact"/>
        <w:ind w:left="0" w:firstLine="0"/>
        <w:jc w:val="center"/>
        <w:textAlignment w:val="auto"/>
        <w:rPr>
          <w:rFonts w:hint="eastAsia" w:ascii="宋体" w:hAnsi="宋体" w:eastAsia="方正小标宋_GBK"/>
          <w:sz w:val="44"/>
        </w:rPr>
      </w:pPr>
      <w:r>
        <w:rPr>
          <w:rFonts w:hint="eastAsia" w:ascii="宋体" w:hAnsi="宋体" w:eastAsia="方正小标宋_GBK"/>
          <w:sz w:val="44"/>
        </w:rPr>
        <w:t>关于废止</w:t>
      </w:r>
      <w:r>
        <w:rPr>
          <w:rFonts w:hint="eastAsia" w:ascii="宋体" w:hAnsi="宋体" w:eastAsia="方正小标宋_GBK"/>
          <w:sz w:val="44"/>
          <w:lang w:eastAsia="zh-CN"/>
        </w:rPr>
        <w:t>津财评</w:t>
      </w:r>
      <w:r>
        <w:rPr>
          <w:rFonts w:hint="eastAsia" w:ascii="宋体" w:hAnsi="宋体" w:eastAsia="方正小标宋_GBK"/>
          <w:sz w:val="44"/>
        </w:rPr>
        <w:t>〔20</w:t>
      </w:r>
      <w:r>
        <w:rPr>
          <w:rFonts w:hint="eastAsia" w:ascii="宋体" w:hAnsi="宋体" w:eastAsia="方正小标宋_GBK"/>
          <w:sz w:val="44"/>
          <w:lang w:val="en-US" w:eastAsia="zh-CN"/>
        </w:rPr>
        <w:t>20</w:t>
      </w:r>
      <w:r>
        <w:rPr>
          <w:rFonts w:hint="eastAsia" w:ascii="宋体" w:hAnsi="宋体" w:eastAsia="方正小标宋_GBK"/>
          <w:sz w:val="44"/>
        </w:rPr>
        <w:t>〕</w:t>
      </w:r>
      <w:r>
        <w:rPr>
          <w:rFonts w:hint="eastAsia" w:ascii="宋体" w:hAnsi="宋体" w:eastAsia="方正小标宋_GBK"/>
          <w:sz w:val="44"/>
          <w:lang w:val="en-US" w:eastAsia="zh-CN"/>
        </w:rPr>
        <w:t>6</w:t>
      </w:r>
      <w:r>
        <w:rPr>
          <w:rFonts w:hint="eastAsia" w:ascii="宋体" w:hAnsi="宋体" w:eastAsia="方正小标宋_GBK"/>
          <w:sz w:val="44"/>
        </w:rPr>
        <w:t>号文件的</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40" w:lineRule="exact"/>
        <w:ind w:left="0" w:firstLine="0"/>
        <w:jc w:val="center"/>
        <w:textAlignment w:val="auto"/>
        <w:rPr>
          <w:rFonts w:hint="eastAsia" w:ascii="宋体" w:hAnsi="宋体" w:eastAsia="方正小标宋_GBK"/>
          <w:sz w:val="44"/>
        </w:rPr>
      </w:pPr>
      <w:r>
        <w:rPr>
          <w:rFonts w:hint="eastAsia" w:ascii="宋体" w:hAnsi="宋体" w:eastAsia="方正小标宋_GBK"/>
          <w:sz w:val="44"/>
        </w:rPr>
        <w:t>通</w:t>
      </w:r>
      <w:r>
        <w:rPr>
          <w:rFonts w:hint="eastAsia" w:ascii="宋体" w:hAnsi="宋体" w:eastAsia="方正小标宋_GBK"/>
          <w:sz w:val="44"/>
          <w:lang w:val="en-US" w:eastAsia="zh-CN"/>
        </w:rPr>
        <w:t xml:space="preserve"> </w:t>
      </w:r>
      <w:r>
        <w:rPr>
          <w:rFonts w:hint="eastAsia" w:ascii="宋体" w:hAnsi="宋体" w:eastAsia="方正小标宋_GBK"/>
          <w:sz w:val="44"/>
        </w:rPr>
        <w:t>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right" w:pos="8527"/>
        </w:tabs>
        <w:suppressAutoHyphens w:val="0"/>
        <w:kinsoku/>
        <w:wordWrap/>
        <w:overflowPunct/>
        <w:topLinePunct w:val="0"/>
        <w:autoSpaceDE/>
        <w:autoSpaceDN/>
        <w:bidi w:val="0"/>
        <w:adjustRightInd/>
        <w:snapToGrid/>
        <w:spacing w:before="0" w:after="0" w:line="540" w:lineRule="exact"/>
        <w:ind w:left="0" w:leftChars="0" w:right="0" w:rightChars="0"/>
        <w:jc w:val="center"/>
        <w:textAlignment w:val="auto"/>
        <w:outlineLvl w:val="9"/>
        <w:rPr>
          <w:rFonts w:hint="eastAsia" w:ascii="方正仿宋_GBK" w:hAnsi="方正仿宋_GBK" w:eastAsia="方正仿宋_GBK" w:cs="方正仿宋_GBK"/>
          <w:snapToGrid w:val="0"/>
          <w:color w:val="auto"/>
          <w:kern w:val="0"/>
          <w:sz w:val="32"/>
          <w:vertAlign w:val="baseline"/>
        </w:rPr>
      </w:pPr>
      <w:r>
        <w:rPr>
          <w:rFonts w:hint="eastAsia" w:ascii="方正仿宋_GBK" w:hAnsi="方正仿宋_GBK" w:eastAsia="方正仿宋_GBK" w:cs="方正仿宋_GBK"/>
          <w:snapToGrid w:val="0"/>
          <w:color w:val="auto"/>
          <w:kern w:val="0"/>
          <w:sz w:val="32"/>
          <w:vertAlign w:val="baseline"/>
        </w:rPr>
        <w:t>津</w:t>
      </w:r>
      <w:r>
        <w:rPr>
          <w:rFonts w:hint="eastAsia" w:ascii="方正仿宋_GBK" w:hAnsi="方正仿宋_GBK" w:eastAsia="方正仿宋_GBK" w:cs="方正仿宋_GBK"/>
          <w:snapToGrid w:val="0"/>
          <w:color w:val="auto"/>
          <w:kern w:val="0"/>
          <w:sz w:val="32"/>
          <w:vertAlign w:val="baseline"/>
          <w:lang w:eastAsia="zh-CN"/>
        </w:rPr>
        <w:t>财评</w:t>
      </w:r>
      <w:r>
        <w:rPr>
          <w:rFonts w:hint="eastAsia" w:ascii="方正仿宋_GBK" w:hAnsi="方正仿宋_GBK" w:eastAsia="方正仿宋_GBK" w:cs="方正仿宋_GBK"/>
          <w:snapToGrid w:val="0"/>
          <w:color w:val="auto"/>
          <w:kern w:val="0"/>
          <w:sz w:val="32"/>
          <w:vertAlign w:val="baseline"/>
        </w:rPr>
        <w:t>〔202</w:t>
      </w:r>
      <w:r>
        <w:rPr>
          <w:rFonts w:hint="eastAsia" w:ascii="方正仿宋_GBK" w:hAnsi="方正仿宋_GBK" w:eastAsia="方正仿宋_GBK" w:cs="方正仿宋_GBK"/>
          <w:snapToGrid w:val="0"/>
          <w:color w:val="auto"/>
          <w:kern w:val="0"/>
          <w:sz w:val="32"/>
          <w:vertAlign w:val="baseline"/>
          <w:lang w:val="en-US" w:eastAsia="zh-CN"/>
        </w:rPr>
        <w:t>3</w:t>
      </w:r>
      <w:r>
        <w:rPr>
          <w:rFonts w:hint="eastAsia" w:ascii="方正仿宋_GBK" w:hAnsi="方正仿宋_GBK" w:eastAsia="方正仿宋_GBK" w:cs="方正仿宋_GBK"/>
          <w:snapToGrid w:val="0"/>
          <w:color w:val="auto"/>
          <w:kern w:val="0"/>
          <w:sz w:val="32"/>
          <w:vertAlign w:val="baseline"/>
        </w:rPr>
        <w:t>〕</w:t>
      </w:r>
      <w:r>
        <w:rPr>
          <w:rFonts w:hint="eastAsia" w:ascii="方正仿宋_GBK" w:hAnsi="方正仿宋_GBK" w:eastAsia="方正仿宋_GBK" w:cs="方正仿宋_GBK"/>
          <w:snapToGrid w:val="0"/>
          <w:color w:val="auto"/>
          <w:kern w:val="0"/>
          <w:sz w:val="32"/>
          <w:vertAlign w:val="baseline"/>
          <w:lang w:val="en-US" w:eastAsia="zh-CN"/>
        </w:rPr>
        <w:t>4</w:t>
      </w:r>
      <w:r>
        <w:rPr>
          <w:rFonts w:hint="eastAsia" w:ascii="方正仿宋_GBK" w:hAnsi="方正仿宋_GBK" w:eastAsia="方正仿宋_GBK" w:cs="方正仿宋_GBK"/>
          <w:snapToGrid w:val="0"/>
          <w:color w:val="auto"/>
          <w:kern w:val="0"/>
          <w:sz w:val="32"/>
          <w:vertAlign w:val="baseline"/>
        </w:rPr>
        <w:t>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eastAsia" w:ascii="宋体" w:hAnsi="宋体" w:eastAsia="方正小标宋_GBK" w:cs="宋体"/>
          <w:bCs/>
          <w:color w:val="000000"/>
          <w:kern w:val="36"/>
          <w:sz w:val="44"/>
          <w:szCs w:val="44"/>
        </w:rPr>
      </w:pPr>
    </w:p>
    <w:p>
      <w:pPr>
        <w:keepNext w:val="0"/>
        <w:keepLines w:val="0"/>
        <w:pageBreakBefore w:val="0"/>
        <w:kinsoku/>
        <w:wordWrap/>
        <w:overflowPunct/>
        <w:topLinePunct w:val="0"/>
        <w:autoSpaceDE/>
        <w:autoSpaceDN w:val="0"/>
        <w:bidi w:val="0"/>
        <w:adjustRightInd/>
        <w:snapToGrid w:val="0"/>
        <w:spacing w:line="600" w:lineRule="exact"/>
        <w:ind w:right="0" w:rightChars="0"/>
        <w:textAlignment w:val="auto"/>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rPr>
        <w:t>各镇人民政府、街道办事处，区政府各部门，有关单位</w:t>
      </w:r>
      <w:r>
        <w:rPr>
          <w:rFonts w:hint="eastAsia" w:ascii="方正仿宋_GBK" w:hAnsi="方正仿宋_GBK" w:eastAsia="方正仿宋_GBK" w:cs="方正仿宋_GBK"/>
          <w:sz w:val="32"/>
          <w:szCs w:val="32"/>
          <w:lang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right" w:pos="8527"/>
        </w:tabs>
        <w:suppressAutoHyphens w:val="0"/>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由于《重庆市江津区财政局 重庆市江津区国有资产监督管理委员会 重庆市江津区审计局关于工程项目结算备案的通知》（津财评〔</w:t>
      </w:r>
      <w:r>
        <w:rPr>
          <w:rFonts w:hint="eastAsia" w:ascii="方正仿宋_GBK" w:hAnsi="方正仿宋_GBK" w:eastAsia="方正仿宋_GBK" w:cs="方正仿宋_GBK"/>
          <w:sz w:val="32"/>
          <w:szCs w:val="32"/>
          <w:lang w:val="en-US" w:eastAsia="zh-CN"/>
        </w:rPr>
        <w:t>2020</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kern w:val="2"/>
          <w:sz w:val="32"/>
          <w:szCs w:val="32"/>
          <w:lang w:val="en-US" w:eastAsia="zh-CN" w:bidi="ar-SA"/>
        </w:rPr>
        <w:t>号）与《重庆市江津区财政局关于印发江津区国有投资工程项目变更审核和结算复查审核实施细则的通知》（</w:t>
      </w:r>
      <w:r>
        <w:rPr>
          <w:rFonts w:hint="eastAsia" w:ascii="方正仿宋_GBK" w:hAnsi="方正仿宋_GBK" w:eastAsia="方正仿宋_GBK" w:cs="方正仿宋_GBK"/>
          <w:snapToGrid w:val="0"/>
          <w:color w:val="auto"/>
          <w:kern w:val="0"/>
          <w:sz w:val="32"/>
          <w:vertAlign w:val="baseline"/>
        </w:rPr>
        <w:t>津</w:t>
      </w:r>
      <w:r>
        <w:rPr>
          <w:rFonts w:hint="eastAsia" w:ascii="方正仿宋_GBK" w:hAnsi="方正仿宋_GBK" w:eastAsia="方正仿宋_GBK" w:cs="方正仿宋_GBK"/>
          <w:snapToGrid w:val="0"/>
          <w:color w:val="auto"/>
          <w:kern w:val="0"/>
          <w:sz w:val="32"/>
          <w:vertAlign w:val="baseline"/>
          <w:lang w:eastAsia="zh-CN"/>
        </w:rPr>
        <w:t>财评</w:t>
      </w:r>
      <w:r>
        <w:rPr>
          <w:rFonts w:hint="eastAsia" w:ascii="方正仿宋_GBK" w:hAnsi="方正仿宋_GBK" w:eastAsia="方正仿宋_GBK" w:cs="方正仿宋_GBK"/>
          <w:snapToGrid w:val="0"/>
          <w:color w:val="auto"/>
          <w:kern w:val="0"/>
          <w:sz w:val="32"/>
          <w:vertAlign w:val="baseline"/>
        </w:rPr>
        <w:t>〔202</w:t>
      </w:r>
      <w:r>
        <w:rPr>
          <w:rFonts w:hint="eastAsia" w:ascii="方正仿宋_GBK" w:hAnsi="方正仿宋_GBK" w:eastAsia="方正仿宋_GBK" w:cs="方正仿宋_GBK"/>
          <w:snapToGrid w:val="0"/>
          <w:color w:val="auto"/>
          <w:kern w:val="0"/>
          <w:sz w:val="32"/>
          <w:vertAlign w:val="baseline"/>
          <w:lang w:val="en-US" w:eastAsia="zh-CN"/>
        </w:rPr>
        <w:t>2</w:t>
      </w:r>
      <w:r>
        <w:rPr>
          <w:rFonts w:hint="eastAsia" w:ascii="方正仿宋_GBK" w:hAnsi="方正仿宋_GBK" w:eastAsia="方正仿宋_GBK" w:cs="方正仿宋_GBK"/>
          <w:snapToGrid w:val="0"/>
          <w:color w:val="auto"/>
          <w:kern w:val="0"/>
          <w:sz w:val="32"/>
          <w:vertAlign w:val="baseline"/>
        </w:rPr>
        <w:t>〕</w:t>
      </w:r>
      <w:r>
        <w:rPr>
          <w:rFonts w:hint="eastAsia" w:ascii="方正仿宋_GBK" w:hAnsi="方正仿宋_GBK" w:eastAsia="方正仿宋_GBK" w:cs="方正仿宋_GBK"/>
          <w:snapToGrid w:val="0"/>
          <w:color w:val="auto"/>
          <w:kern w:val="0"/>
          <w:sz w:val="32"/>
          <w:vertAlign w:val="baseline"/>
          <w:lang w:val="en-US" w:eastAsia="zh-CN"/>
        </w:rPr>
        <w:t>9</w:t>
      </w:r>
      <w:r>
        <w:rPr>
          <w:rFonts w:hint="eastAsia" w:ascii="方正仿宋_GBK" w:hAnsi="方正仿宋_GBK" w:eastAsia="方正仿宋_GBK" w:cs="方正仿宋_GBK"/>
          <w:snapToGrid w:val="0"/>
          <w:color w:val="auto"/>
          <w:kern w:val="0"/>
          <w:sz w:val="32"/>
          <w:vertAlign w:val="baseline"/>
        </w:rPr>
        <w:t>号</w:t>
      </w:r>
      <w:r>
        <w:rPr>
          <w:rFonts w:hint="eastAsia" w:ascii="方正仿宋_GBK" w:hAnsi="方正仿宋_GBK" w:eastAsia="方正仿宋_GBK" w:cs="方正仿宋_GBK"/>
          <w:kern w:val="2"/>
          <w:sz w:val="32"/>
          <w:szCs w:val="32"/>
          <w:lang w:val="en-US" w:eastAsia="zh-CN" w:bidi="ar-SA"/>
        </w:rPr>
        <w:t>）冲突，文件内容已不符合当前工程项目结算备案要求，决定废止该文件。自本通知下发之日起生效。</w:t>
      </w:r>
    </w:p>
    <w:p>
      <w:pPr>
        <w:keepNext w:val="0"/>
        <w:keepLines w:val="0"/>
        <w:pageBreakBefore w:val="0"/>
        <w:widowControl/>
        <w:kinsoku/>
        <w:wordWrap/>
        <w:overflowPunct/>
        <w:topLinePunct w:val="0"/>
        <w:autoSpaceDE/>
        <w:autoSpaceDN/>
        <w:bidi w:val="0"/>
        <w:adjustRightInd/>
        <w:snapToGrid/>
        <w:spacing w:line="600" w:lineRule="exact"/>
        <w:ind w:right="0" w:rightChars="0"/>
        <w:jc w:val="right"/>
        <w:textAlignment w:val="auto"/>
        <w:rPr>
          <w:rFonts w:hint="eastAsia" w:ascii="方正仿宋_GBK" w:hAnsi="方正仿宋_GBK" w:eastAsia="方正仿宋_GBK" w:cs="方正仿宋_GBK"/>
          <w:bCs/>
          <w:color w:val="000000"/>
          <w:kern w:val="36"/>
          <w:sz w:val="32"/>
          <w:szCs w:val="32"/>
        </w:rPr>
      </w:pP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rPr>
          <w:rFonts w:hint="eastAsia" w:ascii="方正仿宋_GBK" w:hAnsi="方正仿宋_GBK" w:eastAsia="方正仿宋_GBK" w:cs="方正仿宋_GBK"/>
          <w:bCs/>
          <w:color w:val="000000"/>
          <w:kern w:val="36"/>
          <w:sz w:val="32"/>
          <w:szCs w:val="32"/>
        </w:rPr>
      </w:pPr>
      <w:r>
        <w:rPr>
          <w:rFonts w:hint="eastAsia" w:ascii="方正仿宋_GBK" w:hAnsi="方正仿宋_GBK" w:eastAsia="方正仿宋_GBK" w:cs="方正仿宋_GBK"/>
          <w:bCs/>
          <w:color w:val="000000"/>
          <w:kern w:val="36"/>
          <w:sz w:val="32"/>
          <w:szCs w:val="32"/>
          <w:lang w:val="en-US" w:eastAsia="zh-CN"/>
        </w:rPr>
        <w:t xml:space="preserve">                     </w:t>
      </w:r>
      <w:r>
        <w:rPr>
          <w:rFonts w:hint="eastAsia" w:ascii="方正仿宋_GBK" w:hAnsi="方正仿宋_GBK" w:eastAsia="方正仿宋_GBK" w:cs="方正仿宋_GBK"/>
          <w:bCs/>
          <w:color w:val="000000"/>
          <w:kern w:val="36"/>
          <w:sz w:val="32"/>
          <w:szCs w:val="32"/>
        </w:rPr>
        <w:t>重庆市江津区财政局</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center"/>
        <w:textAlignment w:val="auto"/>
        <w:rPr>
          <w:rFonts w:hint="eastAsia" w:ascii="方正仿宋_GBK" w:hAnsi="方正仿宋_GBK" w:eastAsia="方正仿宋_GBK" w:cs="方正仿宋_GBK"/>
          <w:bCs/>
          <w:color w:val="000000"/>
          <w:kern w:val="36"/>
          <w:sz w:val="32"/>
          <w:szCs w:val="32"/>
          <w:lang w:val="en-US" w:eastAsia="zh-CN"/>
        </w:rPr>
      </w:pPr>
      <w:r>
        <w:rPr>
          <w:rFonts w:hint="eastAsia" w:ascii="方正仿宋_GBK" w:hAnsi="方正仿宋_GBK" w:eastAsia="方正仿宋_GBK" w:cs="方正仿宋_GBK"/>
          <w:kern w:val="2"/>
          <w:sz w:val="32"/>
          <w:szCs w:val="32"/>
          <w:lang w:val="en-US" w:eastAsia="zh-CN" w:bidi="ar-SA"/>
        </w:rPr>
        <w:t xml:space="preserve">                 重庆市江津区审计局 </w:t>
      </w:r>
    </w:p>
    <w:p>
      <w:pPr>
        <w:keepNext w:val="0"/>
        <w:keepLines w:val="0"/>
        <w:pageBreakBefore w:val="0"/>
        <w:widowControl/>
        <w:kinsoku/>
        <w:wordWrap/>
        <w:overflowPunct/>
        <w:topLinePunct w:val="0"/>
        <w:autoSpaceDE/>
        <w:autoSpaceDN/>
        <w:bidi w:val="0"/>
        <w:adjustRightInd/>
        <w:snapToGrid/>
        <w:spacing w:line="600" w:lineRule="exact"/>
        <w:ind w:right="0" w:rightChars="0" w:firstLine="0" w:firstLineChars="0"/>
        <w:jc w:val="righ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重庆市江津区国有资产监督管理委员会</w:t>
      </w:r>
    </w:p>
    <w:p>
      <w:pPr>
        <w:keepNext w:val="0"/>
        <w:keepLines w:val="0"/>
        <w:pageBreakBefore w:val="0"/>
        <w:widowControl/>
        <w:kinsoku/>
        <w:wordWrap/>
        <w:overflowPunct/>
        <w:topLinePunct w:val="0"/>
        <w:autoSpaceDE/>
        <w:autoSpaceDN/>
        <w:bidi w:val="0"/>
        <w:adjustRightInd/>
        <w:snapToGrid/>
        <w:spacing w:line="600" w:lineRule="exact"/>
        <w:ind w:right="1470" w:rightChars="700" w:firstLine="0" w:firstLineChars="0"/>
        <w:jc w:val="righ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Cs/>
          <w:color w:val="000000"/>
          <w:kern w:val="36"/>
          <w:sz w:val="32"/>
          <w:szCs w:val="32"/>
        </w:rPr>
        <w:t>202</w:t>
      </w:r>
      <w:r>
        <w:rPr>
          <w:rFonts w:hint="eastAsia" w:ascii="方正仿宋_GBK" w:hAnsi="方正仿宋_GBK" w:eastAsia="方正仿宋_GBK" w:cs="方正仿宋_GBK"/>
          <w:bCs/>
          <w:color w:val="000000"/>
          <w:kern w:val="36"/>
          <w:sz w:val="32"/>
          <w:szCs w:val="32"/>
          <w:lang w:val="en-US" w:eastAsia="zh-CN"/>
        </w:rPr>
        <w:t>3</w:t>
      </w:r>
      <w:r>
        <w:rPr>
          <w:rFonts w:hint="eastAsia" w:ascii="方正仿宋_GBK" w:hAnsi="方正仿宋_GBK" w:eastAsia="方正仿宋_GBK" w:cs="方正仿宋_GBK"/>
          <w:bCs/>
          <w:color w:val="000000"/>
          <w:kern w:val="36"/>
          <w:sz w:val="32"/>
          <w:szCs w:val="32"/>
        </w:rPr>
        <w:t>年</w:t>
      </w:r>
      <w:r>
        <w:rPr>
          <w:rFonts w:hint="eastAsia" w:ascii="方正仿宋_GBK" w:hAnsi="方正仿宋_GBK" w:eastAsia="方正仿宋_GBK" w:cs="方正仿宋_GBK"/>
          <w:bCs/>
          <w:color w:val="000000"/>
          <w:kern w:val="36"/>
          <w:sz w:val="32"/>
          <w:szCs w:val="32"/>
          <w:lang w:val="en-US" w:eastAsia="zh-CN"/>
        </w:rPr>
        <w:t>10</w:t>
      </w:r>
      <w:r>
        <w:rPr>
          <w:rFonts w:hint="eastAsia" w:ascii="方正仿宋_GBK" w:hAnsi="方正仿宋_GBK" w:eastAsia="方正仿宋_GBK" w:cs="方正仿宋_GBK"/>
          <w:bCs/>
          <w:color w:val="000000"/>
          <w:kern w:val="36"/>
          <w:sz w:val="32"/>
          <w:szCs w:val="32"/>
        </w:rPr>
        <w:t>月</w:t>
      </w:r>
      <w:r>
        <w:rPr>
          <w:rFonts w:hint="eastAsia" w:ascii="方正仿宋_GBK" w:hAnsi="方正仿宋_GBK" w:eastAsia="方正仿宋_GBK" w:cs="方正仿宋_GBK"/>
          <w:bCs/>
          <w:color w:val="000000"/>
          <w:kern w:val="36"/>
          <w:sz w:val="32"/>
          <w:szCs w:val="32"/>
          <w:lang w:val="en-US" w:eastAsia="zh-CN"/>
        </w:rPr>
        <w:t>12</w:t>
      </w:r>
      <w:r>
        <w:rPr>
          <w:rFonts w:hint="eastAsia" w:ascii="方正仿宋_GBK" w:hAnsi="方正仿宋_GBK" w:eastAsia="方正仿宋_GBK" w:cs="方正仿宋_GBK"/>
          <w:bCs/>
          <w:color w:val="000000"/>
          <w:kern w:val="36"/>
          <w:sz w:val="32"/>
          <w:szCs w:val="32"/>
        </w:rPr>
        <w:t>日</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6" name="文本框 6"/>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pPr>
                            <w:pStyle w:val="4"/>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rect id="文本框 6"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M9ueqfWAAAAAwEAAA8AAAAAAAAAAQAgAAAAOAAAAGRycy9kb3du&#10;cmV2LnhtbFBLAQIUABQAAAAIAIdO4kCJmIhc6wEAAK4DAAAOAAAAAAAAAAEAIAAAADsBAABkcnMv&#10;ZTJvRG9jLnhtbFBLBQYAAAAABgAGAFkBAACYBQAAAAA=&#10;">
              <v:fill on="f" focussize="0,0"/>
              <v:stroke on="f" weight="0.5pt" joinstyle="round"/>
              <v:imagedata o:title=""/>
              <o:lock v:ext="edit" aspectratio="f"/>
              <v:textbox inset="0mm,0mm,0mm,0mm" style="mso-fit-shape-to-text:t;">
                <w:txbxContent>
                  <w:p>
                    <w:pPr>
                      <w:pStyle w:val="4"/>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v:textbox>
            </v:rect>
          </w:pict>
        </mc:Fallback>
      </mc:AlternateContent>
    </w:r>
  </w:p>
  <w:p>
    <w:pPr>
      <w:pStyle w:val="5"/>
      <w:ind w:left="4788" w:leftChars="2280" w:firstLine="6400" w:firstLineChars="2000"/>
      <w:rPr>
        <w:sz w:val="32"/>
      </w:rPr>
    </w:pPr>
    <w:r>
      <w:rPr>
        <w:color w:val="FAFAFA"/>
        <w:sz w:val="32"/>
      </w:rPr>
      <mc:AlternateContent>
        <mc:Choice Requires="wps">
          <w:drawing>
            <wp:anchor distT="0" distB="0" distL="113665" distR="113665" simplePos="0" relativeHeight="251659264" behindDoc="0" locked="0" layoutInCell="1" allowOverlap="1">
              <wp:simplePos x="0" y="0"/>
              <wp:positionH relativeFrom="column">
                <wp:posOffset>-5715</wp:posOffset>
              </wp:positionH>
              <wp:positionV relativeFrom="paragraph">
                <wp:posOffset>140335</wp:posOffset>
              </wp:positionV>
              <wp:extent cx="5619750" cy="635"/>
              <wp:effectExtent l="0" t="0" r="0" b="0"/>
              <wp:wrapNone/>
              <wp:docPr id="9" name="直线 9"/>
              <wp:cNvGraphicFramePr/>
              <a:graphic xmlns:a="http://schemas.openxmlformats.org/drawingml/2006/main">
                <a:graphicData uri="http://schemas.microsoft.com/office/word/2010/wordprocessingShape">
                  <wps:wsp>
                    <wps:cNvCnPr/>
                    <wps:spPr>
                      <a:xfrm>
                        <a:off x="0" y="0"/>
                        <a:ext cx="5619750" cy="952"/>
                      </a:xfrm>
                      <a:prstGeom prst="line">
                        <a:avLst/>
                      </a:prstGeom>
                      <a:noFill/>
                      <a:ln w="22225" cap="flat" cmpd="sng">
                        <a:solidFill>
                          <a:srgbClr val="005192"/>
                        </a:solidFill>
                        <a:prstDash val="solid"/>
                        <a:round/>
                      </a:ln>
                    </wps:spPr>
                    <wps:bodyPr vert="horz" wrap="square" lIns="91440" tIns="45720" rIns="91440" bIns="45720" anchor="t" anchorCtr="false" upright="true">
                      <a:noAutofit/>
                    </wps:bodyPr>
                  </wps:wsp>
                </a:graphicData>
              </a:graphic>
            </wp:anchor>
          </w:drawing>
        </mc:Choice>
        <mc:Fallback>
          <w:pict>
            <v:line id="直线 9" o:spid="_x0000_s1026" o:spt="20" style="position:absolute;left:0pt;margin-left:-0.45pt;margin-top:11.05pt;height:0.05pt;width:442.5pt;z-index:251659264;mso-width-relative:page;mso-height-relative:page;" filled="f" stroked="t" coordsize="21600,21600" o:gfxdata="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LL3wDSAAAABwEAAA8AAAAAAAAAAQAg&#10;AAAAOAAAAGRycy9kb3ducmV2LnhtbFBLAQIUABQAAAAIAIdO4kBPorXL/gEAANkDAAAOAAAAAAAA&#10;AAEAIAAAADcBAABkcnMvZTJvRG9jLnhtbFBLBQYAAAAABgAGAFkBAACnBQAAAAA=&#10;">
              <v:fill on="f" focussize="0,0"/>
              <v:stroke weight="1.75pt" color="#005192" joinstyle="round"/>
              <v:imagedata o:title=""/>
              <o:lock v:ext="edit" aspectratio="f"/>
            </v:line>
          </w:pict>
        </mc:Fallback>
      </mc:AlternateContent>
    </w:r>
  </w:p>
  <w:p>
    <w:pPr>
      <w:pStyle w:val="5"/>
      <w:wordWrap w:val="0"/>
      <w:jc w:val="right"/>
      <w:rPr>
        <w:rFonts w:hint="eastAsia" w:ascii="宋体" w:eastAsia="宋体" w:cs="宋体"/>
        <w:b/>
        <w:bCs/>
        <w:color w:val="005192"/>
        <w:sz w:val="28"/>
        <w:szCs w:val="44"/>
        <w:lang w:val="en-US" w:eastAsia="zh-CN"/>
      </w:rPr>
    </w:pPr>
    <w:r>
      <w:rPr>
        <w:rFonts w:hint="eastAsia" w:ascii="宋体" w:eastAsia="宋体" w:cs="宋体"/>
        <w:b/>
        <w:bCs/>
        <w:color w:val="005192"/>
        <w:sz w:val="28"/>
        <w:szCs w:val="44"/>
        <w:lang w:val="en-US" w:eastAsia="zh-CN"/>
      </w:rPr>
      <w:t>重庆市江津区财政局发布</w:t>
    </w:r>
    <w:r>
      <w:rPr>
        <w:rFonts w:asci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32"/>
      </w:rPr>
    </w:pP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32"/>
        <w:szCs w:val="32"/>
        <w:lang w:val="en-US" w:eastAsia="zh-CN"/>
      </w:rPr>
    </w:pPr>
    <w:r>
      <w:rPr>
        <w:rFonts w:hint="eastAsia" w:ascii="宋体" w:eastAsia="宋体" w:cs="宋体"/>
        <w:b/>
        <w:bCs/>
        <w:color w:val="005192"/>
        <w:sz w:val="32"/>
      </w:rPr>
      <w:drawing>
        <wp:inline distT="0" distB="0" distL="114300" distR="114300">
          <wp:extent cx="308610" cy="308610"/>
          <wp:effectExtent l="0" t="0" r="0" b="0"/>
          <wp:docPr id="1"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true"/>
                  </pic:cNvPicPr>
                </pic:nvPicPr>
                <pic:blipFill>
                  <a:blip r:embed="rId1"/>
                  <a:stretch>
                    <a:fillRect/>
                  </a:stretch>
                </pic:blipFill>
                <pic:spPr>
                  <a:xfrm>
                    <a:off x="0" y="0"/>
                    <a:ext cx="308610" cy="308610"/>
                  </a:xfrm>
                  <a:prstGeom prst="rect">
                    <a:avLst/>
                  </a:prstGeom>
                  <a:noFill/>
                  <a:ln w="9525" cap="flat" cmpd="sng">
                    <a:noFill/>
                    <a:prstDash val="solid"/>
                    <a:miter/>
                  </a:ln>
                </pic:spPr>
              </pic:pic>
            </a:graphicData>
          </a:graphic>
        </wp:inline>
      </w:drawing>
    </w:r>
    <w:r>
      <w:rPr>
        <w:rFonts w:hint="eastAsia" w:ascii="宋体" w:eastAsia="宋体" w:cs="宋体"/>
        <w:b/>
        <w:bCs/>
        <w:color w:val="005192"/>
        <w:sz w:val="32"/>
        <w:lang w:eastAsia="zh-CN"/>
      </w:rPr>
      <w:t>重庆市江津</w:t>
    </w:r>
    <w:r>
      <w:rPr>
        <w:rFonts w:ascii="宋体" w:eastAsia="宋体" w:cs="宋体"/>
        <w:b/>
        <w:bCs/>
        <w:color w:val="005192"/>
        <w:sz w:val="32"/>
        <w:lang w:eastAsia="zh-CN"/>
      </w:rPr>
      <w:t>区</w:t>
    </w:r>
    <w:r>
      <w:rPr>
        <w:rFonts w:hint="eastAsia" w:ascii="宋体" w:eastAsia="宋体" w:cs="宋体"/>
        <w:b/>
        <w:bCs/>
        <w:color w:val="005192"/>
        <w:sz w:val="32"/>
        <w:lang w:eastAsia="zh-CN"/>
      </w:rPr>
      <w:t>财政局行政</w:t>
    </w:r>
    <w:r>
      <w:rPr>
        <w:rFonts w:hint="eastAsia" w:ascii="宋体" w:eastAsia="宋体" w:cs="宋体"/>
        <w:b/>
        <w:bCs/>
        <w:color w:val="005192"/>
        <w:sz w:val="32"/>
        <w:szCs w:val="32"/>
        <w:lang w:val="en-US"/>
      </w:rPr>
      <w:t>规范性文件</w:t>
    </w:r>
    <w:r>
      <w:rPr>
        <w:rFonts w:hint="eastAsia" w:ascii="方正仿宋_GBK" w:eastAsia="方正仿宋_GBK" w:cs="方正仿宋_GBK"/>
        <w:b/>
        <w:bCs/>
        <w:color w:val="000000"/>
        <w:sz w:val="32"/>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426720</wp:posOffset>
              </wp:positionV>
              <wp:extent cx="5620385" cy="635"/>
              <wp:effectExtent l="0" t="0" r="0" b="0"/>
              <wp:wrapNone/>
              <wp:docPr id="4" name="直线 4"/>
              <wp:cNvGraphicFramePr/>
              <a:graphic xmlns:a="http://schemas.openxmlformats.org/drawingml/2006/main">
                <a:graphicData uri="http://schemas.microsoft.com/office/word/2010/wordprocessingShape">
                  <wps:wsp>
                    <wps:cNvCnPr/>
                    <wps:spPr>
                      <a:xfrm>
                        <a:off x="0" y="0"/>
                        <a:ext cx="5620385" cy="952"/>
                      </a:xfrm>
                      <a:prstGeom prst="line">
                        <a:avLst/>
                      </a:prstGeom>
                      <a:noFill/>
                      <a:ln w="22225" cap="flat" cmpd="sng">
                        <a:solidFill>
                          <a:srgbClr val="005192"/>
                        </a:solidFill>
                        <a:prstDash val="solid"/>
                        <a:round/>
                      </a:ln>
                    </wps:spPr>
                    <wps:bodyPr vert="horz" wrap="square" lIns="91440" tIns="45720" rIns="91440" bIns="45720" anchor="t" anchorCtr="false" upright="true">
                      <a:noAutofit/>
                    </wps:bodyPr>
                  </wps:wsp>
                </a:graphicData>
              </a:graphic>
            </wp:anchor>
          </w:drawing>
        </mc:Choice>
        <mc:Fallback>
          <w:pict>
            <v:line id="直线 4" o:spid="_x0000_s1026" o:spt="20" style="position:absolute;left:0pt;margin-left:0pt;margin-top:33.6pt;height:0.05pt;width:442.55pt;z-index:251659264;mso-width-relative:page;mso-height-relative:page;" filled="f" stroked="t" coordsize="21600,21600" o:gfxdata="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Le7MtnSAAAABgEAAA8AAAAAAAAAAQAg&#10;AAAAOAAAAGRycy9kb3ducmV2LnhtbFBLAQIUABQAAAAIAIdO4kAi88gB/gEAANkDAAAOAAAAAAAA&#10;AAEAIAAAADcBAABkcnMvZTJvRG9jLnhtbFBLBQYAAAAABgAGAFkBAACnBQAAAAA=&#10;">
              <v:fill on="f" focussize="0,0"/>
              <v:stroke weight="1.75pt" color="#005192" joinstyle="round"/>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13"/>
        <w:szCs w:val="13"/>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8"/>
  <w:displayHorizontalDrawingGridEvery w:val="1"/>
  <w:displayVerticalDrawingGridEvery w:val="2"/>
  <w:noPunctuationKerning w:val="true"/>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N2UxYjE1NzM1MTA1ZmE4YTI5ODFkMWU0OWVkZTg1MDEifQ=="/>
  </w:docVars>
  <w:rsids>
    <w:rsidRoot w:val="00000000"/>
    <w:rsid w:val="12377DFD"/>
    <w:rsid w:val="13721430"/>
    <w:rsid w:val="22E12881"/>
    <w:rsid w:val="47040547"/>
    <w:rsid w:val="4B7A7015"/>
    <w:rsid w:val="77DEDC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4"/>
    <w:basedOn w:val="1"/>
    <w:next w:val="1"/>
    <w:qFormat/>
    <w:uiPriority w:val="0"/>
    <w:pPr>
      <w:keepNext/>
      <w:keepLines/>
      <w:widowControl w:val="0"/>
      <w:spacing w:before="280" w:after="290" w:line="372" w:lineRule="auto"/>
      <w:outlineLvl w:val="3"/>
    </w:pPr>
    <w:rPr>
      <w:rFonts w:ascii="Arial" w:hAnsi="Arial" w:eastAsia="黑体"/>
      <w:b/>
      <w:sz w:val="28"/>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Default"/>
    <w:qFormat/>
    <w:uiPriority w:val="0"/>
    <w:pPr>
      <w:widowControl w:val="0"/>
      <w:autoSpaceDE w:val="0"/>
      <w:autoSpaceDN w:val="0"/>
      <w:adjustRightInd w:val="0"/>
      <w:spacing w:before="0" w:after="0"/>
    </w:pPr>
    <w:rPr>
      <w:rFonts w:ascii="方正小标宋_GBK" w:hAnsi="Times New Roman" w:eastAsia="方正小标宋_GBK" w:cs="Times New Roman"/>
      <w:color w:val="000000"/>
      <w:sz w:val="24"/>
      <w:lang w:val="en-US" w:eastAsia="zh-CN" w:bidi="ar-SA"/>
    </w:rPr>
  </w:style>
  <w:style w:type="paragraph" w:customStyle="1" w:styleId="13">
    <w:name w:val="CM2"/>
    <w:basedOn w:val="12"/>
    <w:next w:val="12"/>
    <w:qFormat/>
    <w:uiPriority w:val="0"/>
    <w:pPr>
      <w:spacing w:before="0" w:after="0" w:line="600" w:lineRule="atLeast"/>
    </w:pPr>
    <w:rPr>
      <w:sz w:val="24"/>
    </w:rPr>
  </w:style>
  <w:style w:type="paragraph" w:customStyle="1" w:styleId="14">
    <w:name w:val="CM3"/>
    <w:basedOn w:val="12"/>
    <w:next w:val="12"/>
    <w:qFormat/>
    <w:uiPriority w:val="0"/>
    <w:pPr>
      <w:spacing w:before="0" w:after="0" w:line="600" w:lineRule="atLeast"/>
    </w:pPr>
    <w:rPr>
      <w:sz w:val="24"/>
    </w:rPr>
  </w:style>
  <w:style w:type="paragraph" w:customStyle="1" w:styleId="15">
    <w:name w:val="CM5"/>
    <w:basedOn w:val="12"/>
    <w:next w:val="12"/>
    <w:qFormat/>
    <w:uiPriority w:val="0"/>
    <w:pPr>
      <w:spacing w:before="0" w:after="0" w:line="600" w:lineRule="atLeast"/>
    </w:pPr>
    <w:rPr>
      <w:sz w:val="24"/>
    </w:rPr>
  </w:style>
  <w:style w:type="paragraph" w:customStyle="1" w:styleId="16">
    <w:name w:val="CM6"/>
    <w:basedOn w:val="12"/>
    <w:next w:val="12"/>
    <w:qFormat/>
    <w:uiPriority w:val="0"/>
    <w:pPr>
      <w:spacing w:before="0" w:after="0" w:line="600" w:lineRule="atLeast"/>
    </w:pPr>
    <w:rPr>
      <w:sz w:val="24"/>
    </w:rPr>
  </w:style>
  <w:style w:type="paragraph" w:customStyle="1" w:styleId="17">
    <w:name w:val="CM7"/>
    <w:basedOn w:val="12"/>
    <w:next w:val="12"/>
    <w:qFormat/>
    <w:uiPriority w:val="0"/>
    <w:pPr>
      <w:spacing w:before="0" w:after="0" w:line="600" w:lineRule="atLeast"/>
    </w:pPr>
    <w:rPr>
      <w:sz w:val="24"/>
    </w:rPr>
  </w:style>
  <w:style w:type="paragraph" w:customStyle="1" w:styleId="18">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19</Pages>
  <Words>6882</Words>
  <Characters>7020</Characters>
  <Lines>235</Lines>
  <Paragraphs>86</Paragraphs>
  <TotalTime>5</TotalTime>
  <ScaleCrop>false</ScaleCrop>
  <LinksUpToDate>false</LinksUpToDate>
  <CharactersWithSpaces>7304</CharactersWithSpaces>
  <Application>WPS Office_11.8.2.10195_F1E327BC-269C-435d-A152-05C5408002CA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区财政局</cp:lastModifiedBy>
  <cp:lastPrinted>2023-10-16T12:55:00Z</cp:lastPrinted>
  <dcterms:modified xsi:type="dcterms:W3CDTF">2023-11-14T14:08:50Z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68F6BA6AD632474C83E669E871BA61CF_13</vt:lpwstr>
  </property>
</Properties>
</file>