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ascii="Times New Roman" w:hAnsi="Times New Roman"/>
        </w:rPr>
      </w:pPr>
    </w:p>
    <w:p>
      <w:pPr>
        <w:pStyle w:val="11"/>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ascii="Times New Roman" w:hAnsi="Times New Roman"/>
        </w:rPr>
      </w:pP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eastAsia" w:ascii="方正小标宋_GBK" w:hAnsi="方正小标宋_GBK" w:eastAsia="方正小标宋_GBK" w:cs="方正小标宋_GBK"/>
          <w:bCs/>
          <w:color w:val="000000"/>
          <w:kern w:val="36"/>
          <w:sz w:val="44"/>
          <w:szCs w:val="44"/>
          <w:lang w:eastAsia="zh-CN"/>
        </w:rPr>
      </w:pPr>
      <w:r>
        <w:rPr>
          <w:rFonts w:hint="eastAsia" w:ascii="方正小标宋_GBK" w:hAnsi="方正小标宋_GBK" w:eastAsia="方正小标宋_GBK" w:cs="方正小标宋_GBK"/>
          <w:bCs/>
          <w:color w:val="000000"/>
          <w:kern w:val="36"/>
          <w:sz w:val="44"/>
          <w:szCs w:val="44"/>
          <w:lang w:eastAsia="zh-CN"/>
        </w:rPr>
        <w:t>重庆市江津区财政局</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eastAsia" w:ascii="方正小标宋_GBK" w:hAnsi="方正小标宋_GBK" w:eastAsia="方正小标宋_GBK" w:cs="方正小标宋_GBK"/>
          <w:sz w:val="44"/>
          <w:szCs w:val="44"/>
          <w:lang w:val="en-US" w:eastAsia="zh-CN"/>
        </w:rPr>
      </w:pPr>
      <w:r>
        <w:rPr>
          <w:rStyle w:val="9"/>
          <w:rFonts w:hint="eastAsia" w:ascii="方正小标宋_GBK" w:hAnsi="方正小标宋_GBK" w:eastAsia="方正小标宋_GBK" w:cs="方正小标宋_GBK"/>
          <w:b w:val="0"/>
          <w:sz w:val="44"/>
          <w:szCs w:val="44"/>
        </w:rPr>
        <w:t>关于印发江津区</w:t>
      </w:r>
      <w:r>
        <w:rPr>
          <w:rStyle w:val="9"/>
          <w:rFonts w:hint="eastAsia" w:ascii="方正小标宋_GBK" w:hAnsi="方正小标宋_GBK" w:eastAsia="方正小标宋_GBK" w:cs="方正小标宋_GBK"/>
          <w:b w:val="0"/>
          <w:sz w:val="44"/>
          <w:szCs w:val="44"/>
          <w:lang w:val="en-US" w:eastAsia="zh-CN"/>
        </w:rPr>
        <w:t>国有</w:t>
      </w:r>
      <w:r>
        <w:rPr>
          <w:rStyle w:val="9"/>
          <w:rFonts w:hint="eastAsia" w:ascii="方正小标宋_GBK" w:hAnsi="方正小标宋_GBK" w:eastAsia="方正小标宋_GBK" w:cs="方正小标宋_GBK"/>
          <w:b w:val="0"/>
          <w:sz w:val="44"/>
          <w:szCs w:val="44"/>
        </w:rPr>
        <w:t>投资工程项目</w:t>
      </w:r>
      <w:r>
        <w:rPr>
          <w:rStyle w:val="9"/>
          <w:rFonts w:hint="eastAsia" w:ascii="方正小标宋_GBK" w:hAnsi="方正小标宋_GBK" w:eastAsia="方正小标宋_GBK" w:cs="方正小标宋_GBK"/>
          <w:b w:val="0"/>
          <w:sz w:val="44"/>
          <w:szCs w:val="44"/>
          <w:lang w:val="en-US" w:eastAsia="zh-CN"/>
        </w:rPr>
        <w:t>变更审核和结算</w:t>
      </w:r>
      <w:r>
        <w:rPr>
          <w:rStyle w:val="9"/>
          <w:rFonts w:hint="eastAsia" w:ascii="方正小标宋_GBK" w:hAnsi="方正小标宋_GBK" w:eastAsia="方正小标宋_GBK" w:cs="方正小标宋_GBK"/>
          <w:b w:val="0"/>
          <w:sz w:val="44"/>
          <w:szCs w:val="44"/>
        </w:rPr>
        <w:t>复查审核实施细则的通知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right" w:pos="8527"/>
        </w:tabs>
        <w:suppressAutoHyphens w:val="0"/>
        <w:kinsoku/>
        <w:wordWrap/>
        <w:overflowPunct/>
        <w:topLinePunct w:val="0"/>
        <w:autoSpaceDE/>
        <w:autoSpaceDN/>
        <w:bidi w:val="0"/>
        <w:adjustRightInd/>
        <w:snapToGrid/>
        <w:spacing w:before="0" w:after="0" w:line="600" w:lineRule="exact"/>
        <w:ind w:left="0" w:leftChars="0" w:right="0" w:rightChars="0"/>
        <w:jc w:val="center"/>
        <w:textAlignment w:val="auto"/>
        <w:outlineLvl w:val="9"/>
        <w:rPr>
          <w:rFonts w:hint="eastAsia" w:ascii="方正仿宋_GBK" w:hAnsi="方正仿宋_GBK" w:eastAsia="方正仿宋_GBK" w:cs="方正仿宋_GBK"/>
          <w:snapToGrid w:val="0"/>
          <w:color w:val="auto"/>
          <w:kern w:val="0"/>
          <w:sz w:val="32"/>
          <w:vertAlign w:val="baseline"/>
        </w:rPr>
      </w:pPr>
      <w:r>
        <w:rPr>
          <w:rFonts w:hint="eastAsia" w:ascii="方正仿宋_GBK" w:hAnsi="方正仿宋_GBK" w:eastAsia="方正仿宋_GBK" w:cs="方正仿宋_GBK"/>
          <w:snapToGrid w:val="0"/>
          <w:color w:val="auto"/>
          <w:kern w:val="0"/>
          <w:sz w:val="32"/>
          <w:vertAlign w:val="baseline"/>
        </w:rPr>
        <w:t>津</w:t>
      </w:r>
      <w:r>
        <w:rPr>
          <w:rFonts w:hint="eastAsia" w:ascii="方正仿宋_GBK" w:hAnsi="方正仿宋_GBK" w:eastAsia="方正仿宋_GBK" w:cs="方正仿宋_GBK"/>
          <w:snapToGrid w:val="0"/>
          <w:color w:val="auto"/>
          <w:kern w:val="0"/>
          <w:sz w:val="32"/>
          <w:vertAlign w:val="baseline"/>
          <w:lang w:eastAsia="zh-CN"/>
        </w:rPr>
        <w:t>财评</w:t>
      </w:r>
      <w:r>
        <w:rPr>
          <w:rFonts w:hint="eastAsia" w:ascii="方正仿宋_GBK" w:hAnsi="方正仿宋_GBK" w:eastAsia="方正仿宋_GBK" w:cs="方正仿宋_GBK"/>
          <w:snapToGrid w:val="0"/>
          <w:color w:val="auto"/>
          <w:kern w:val="0"/>
          <w:sz w:val="32"/>
          <w:vertAlign w:val="baseline"/>
        </w:rPr>
        <w:t>〔202</w:t>
      </w:r>
      <w:r>
        <w:rPr>
          <w:rFonts w:hint="eastAsia" w:ascii="方正仿宋_GBK" w:hAnsi="方正仿宋_GBK" w:eastAsia="方正仿宋_GBK" w:cs="方正仿宋_GBK"/>
          <w:snapToGrid w:val="0"/>
          <w:color w:val="auto"/>
          <w:kern w:val="0"/>
          <w:sz w:val="32"/>
          <w:vertAlign w:val="baseline"/>
          <w:lang w:val="en-US" w:eastAsia="zh-CN"/>
        </w:rPr>
        <w:t>2</w:t>
      </w:r>
      <w:r>
        <w:rPr>
          <w:rFonts w:hint="eastAsia" w:ascii="方正仿宋_GBK" w:hAnsi="方正仿宋_GBK" w:eastAsia="方正仿宋_GBK" w:cs="方正仿宋_GBK"/>
          <w:snapToGrid w:val="0"/>
          <w:color w:val="auto"/>
          <w:kern w:val="0"/>
          <w:sz w:val="32"/>
          <w:vertAlign w:val="baseline"/>
        </w:rPr>
        <w:t>〕</w:t>
      </w:r>
      <w:r>
        <w:rPr>
          <w:rFonts w:hint="eastAsia" w:ascii="方正仿宋_GBK" w:hAnsi="方正仿宋_GBK" w:eastAsia="方正仿宋_GBK" w:cs="方正仿宋_GBK"/>
          <w:snapToGrid w:val="0"/>
          <w:color w:val="auto"/>
          <w:kern w:val="0"/>
          <w:sz w:val="32"/>
          <w:vertAlign w:val="baseline"/>
          <w:lang w:val="en-US" w:eastAsia="zh-CN"/>
        </w:rPr>
        <w:t>9</w:t>
      </w:r>
      <w:r>
        <w:rPr>
          <w:rFonts w:hint="eastAsia" w:ascii="方正仿宋_GBK" w:hAnsi="方正仿宋_GBK" w:eastAsia="方正仿宋_GBK" w:cs="方正仿宋_GBK"/>
          <w:snapToGrid w:val="0"/>
          <w:color w:val="auto"/>
          <w:kern w:val="0"/>
          <w:sz w:val="32"/>
          <w:vertAlign w:val="baseline"/>
        </w:rPr>
        <w:t>号</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eastAsia" w:ascii="宋体" w:hAnsi="宋体" w:eastAsia="方正小标宋_GBK" w:cs="宋体"/>
          <w:bCs/>
          <w:color w:val="000000"/>
          <w:kern w:val="36"/>
          <w:sz w:val="44"/>
          <w:szCs w:val="44"/>
        </w:rPr>
      </w:pP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各镇人民政府、街道办事处，区政府各部门，有关单位：</w:t>
      </w:r>
    </w:p>
    <w:p>
      <w:pPr>
        <w:keepNext w:val="0"/>
        <w:keepLines w:val="0"/>
        <w:pageBreakBefore w:val="0"/>
        <w:widowControl/>
        <w:kinsoku/>
        <w:wordWrap/>
        <w:overflowPunct/>
        <w:topLinePunct w:val="0"/>
        <w:autoSpaceDE/>
        <w:autoSpaceDN/>
        <w:bidi w:val="0"/>
        <w:adjustRightInd/>
        <w:spacing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为进一步规范</w:t>
      </w:r>
      <w:r>
        <w:rPr>
          <w:rFonts w:hint="eastAsia" w:ascii="方正仿宋_GBK" w:hAnsi="方正仿宋_GBK" w:eastAsia="方正仿宋_GBK" w:cs="方正仿宋_GBK"/>
          <w:sz w:val="32"/>
          <w:szCs w:val="32"/>
          <w:lang w:eastAsia="zh-CN"/>
        </w:rPr>
        <w:t>国有</w:t>
      </w:r>
      <w:r>
        <w:rPr>
          <w:rFonts w:hint="eastAsia" w:ascii="方正仿宋_GBK" w:hAnsi="方正仿宋_GBK" w:eastAsia="方正仿宋_GBK" w:cs="方正仿宋_GBK"/>
          <w:sz w:val="32"/>
          <w:szCs w:val="32"/>
        </w:rPr>
        <w:t>投资工程项目变更</w:t>
      </w:r>
      <w:r>
        <w:rPr>
          <w:rFonts w:hint="eastAsia" w:ascii="方正仿宋_GBK" w:hAnsi="方正仿宋_GBK" w:eastAsia="方正仿宋_GBK" w:cs="方正仿宋_GBK"/>
          <w:sz w:val="32"/>
          <w:szCs w:val="32"/>
          <w:lang w:val="en-US" w:eastAsia="zh-CN"/>
        </w:rPr>
        <w:t>审核和</w:t>
      </w:r>
      <w:r>
        <w:rPr>
          <w:rFonts w:hint="eastAsia" w:ascii="方正仿宋_GBK" w:hAnsi="方正仿宋_GBK" w:eastAsia="方正仿宋_GBK" w:cs="方正仿宋_GBK"/>
          <w:sz w:val="32"/>
          <w:szCs w:val="32"/>
        </w:rPr>
        <w:t>结算复查审核操作程序，</w:t>
      </w:r>
      <w:r>
        <w:rPr>
          <w:rFonts w:hint="eastAsia" w:ascii="方正仿宋_GBK" w:hAnsi="方正仿宋_GBK" w:eastAsia="方正仿宋_GBK" w:cs="方正仿宋_GBK"/>
          <w:sz w:val="32"/>
          <w:szCs w:val="32"/>
          <w:lang w:val="en-US" w:eastAsia="zh-CN"/>
        </w:rPr>
        <w:t>经区政府第13次常务会审议通过，</w:t>
      </w:r>
      <w:r>
        <w:rPr>
          <w:rFonts w:hint="eastAsia" w:ascii="方正仿宋_GBK" w:hAnsi="方正仿宋_GBK" w:eastAsia="方正仿宋_GBK" w:cs="方正仿宋_GBK"/>
          <w:sz w:val="32"/>
          <w:szCs w:val="32"/>
        </w:rPr>
        <w:t>现将江津区</w:t>
      </w:r>
      <w:r>
        <w:rPr>
          <w:rFonts w:hint="eastAsia" w:ascii="方正仿宋_GBK" w:hAnsi="方正仿宋_GBK" w:eastAsia="方正仿宋_GBK" w:cs="方正仿宋_GBK"/>
          <w:sz w:val="32"/>
          <w:szCs w:val="32"/>
          <w:lang w:eastAsia="zh-CN"/>
        </w:rPr>
        <w:t>国有</w:t>
      </w:r>
      <w:r>
        <w:rPr>
          <w:rFonts w:hint="eastAsia" w:ascii="方正仿宋_GBK" w:hAnsi="方正仿宋_GBK" w:eastAsia="方正仿宋_GBK" w:cs="方正仿宋_GBK"/>
          <w:sz w:val="32"/>
          <w:szCs w:val="32"/>
        </w:rPr>
        <w:t>投资工程项目</w:t>
      </w:r>
      <w:r>
        <w:rPr>
          <w:rFonts w:hint="eastAsia" w:ascii="方正仿宋_GBK" w:hAnsi="方正仿宋_GBK" w:eastAsia="方正仿宋_GBK" w:cs="方正仿宋_GBK"/>
          <w:sz w:val="32"/>
          <w:szCs w:val="32"/>
          <w:lang w:eastAsia="zh-CN"/>
        </w:rPr>
        <w:t>变更审核和结算</w:t>
      </w:r>
      <w:r>
        <w:rPr>
          <w:rFonts w:hint="eastAsia" w:ascii="方正仿宋_GBK" w:hAnsi="方正仿宋_GBK" w:eastAsia="方正仿宋_GBK" w:cs="方正仿宋_GBK"/>
          <w:sz w:val="32"/>
          <w:szCs w:val="32"/>
        </w:rPr>
        <w:t>复查审核实施细则印发给你们，请遵照执行。</w:t>
      </w:r>
    </w:p>
    <w:p>
      <w:pPr>
        <w:keepNext w:val="0"/>
        <w:keepLines w:val="0"/>
        <w:pageBreakBefore w:val="0"/>
        <w:widowControl/>
        <w:kinsoku/>
        <w:wordWrap/>
        <w:overflowPunct/>
        <w:topLinePunct w:val="0"/>
        <w:autoSpaceDE/>
        <w:autoSpaceDN/>
        <w:bidi w:val="0"/>
        <w:adjustRightInd/>
        <w:spacing w:line="600" w:lineRule="exact"/>
        <w:ind w:left="0" w:leftChars="0" w:right="0" w:rightChars="0"/>
        <w:textAlignment w:val="auto"/>
        <w:rPr>
          <w:rFonts w:ascii="宋体" w:hAnsi="宋体" w:eastAsia="方正仿宋_GBK"/>
          <w:sz w:val="32"/>
          <w:szCs w:val="32"/>
        </w:rPr>
      </w:pPr>
    </w:p>
    <w:p>
      <w:pPr>
        <w:keepNext w:val="0"/>
        <w:keepLines w:val="0"/>
        <w:pageBreakBefore w:val="0"/>
        <w:widowControl/>
        <w:kinsoku/>
        <w:wordWrap/>
        <w:overflowPunct/>
        <w:topLinePunct w:val="0"/>
        <w:autoSpaceDE/>
        <w:autoSpaceDN/>
        <w:bidi w:val="0"/>
        <w:adjustRightInd/>
        <w:spacing w:line="600" w:lineRule="exact"/>
        <w:ind w:left="0" w:leftChars="0" w:right="0" w:rightChars="0"/>
        <w:textAlignment w:val="auto"/>
        <w:rPr>
          <w:rFonts w:ascii="宋体" w:hAnsi="宋体" w:eastAsia="方正仿宋_GBK"/>
          <w:sz w:val="32"/>
          <w:szCs w:val="32"/>
        </w:rPr>
      </w:pPr>
    </w:p>
    <w:p>
      <w:pPr>
        <w:keepNext w:val="0"/>
        <w:keepLines w:val="0"/>
        <w:pageBreakBefore w:val="0"/>
        <w:widowControl/>
        <w:kinsoku/>
        <w:wordWrap/>
        <w:overflowPunct/>
        <w:topLinePunct w:val="0"/>
        <w:autoSpaceDE/>
        <w:autoSpaceDN/>
        <w:bidi w:val="0"/>
        <w:adjustRightInd/>
        <w:spacing w:line="600" w:lineRule="exact"/>
        <w:ind w:left="0" w:leftChars="0" w:right="0" w:rightChars="0" w:firstLine="5280" w:firstLineChars="165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重庆市江津区财政局</w:t>
      </w:r>
    </w:p>
    <w:p>
      <w:pPr>
        <w:keepNext w:val="0"/>
        <w:keepLines w:val="0"/>
        <w:pageBreakBefore w:val="0"/>
        <w:widowControl/>
        <w:kinsoku/>
        <w:wordWrap/>
        <w:overflowPunct/>
        <w:topLinePunct w:val="0"/>
        <w:autoSpaceDE/>
        <w:autoSpaceDN/>
        <w:bidi w:val="0"/>
        <w:adjustRightInd/>
        <w:spacing w:line="600" w:lineRule="exact"/>
        <w:ind w:left="0" w:leftChars="0" w:right="0" w:rightChars="0" w:firstLine="5440" w:firstLineChars="17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11</w:t>
      </w:r>
      <w:r>
        <w:rPr>
          <w:rFonts w:hint="eastAsia" w:ascii="方正仿宋_GBK" w:hAnsi="方正仿宋_GBK" w:eastAsia="方正仿宋_GBK" w:cs="方正仿宋_GBK"/>
          <w:sz w:val="32"/>
          <w:szCs w:val="32"/>
        </w:rPr>
        <w:t>日</w:t>
      </w:r>
    </w:p>
    <w:p>
      <w:pPr>
        <w:keepNext w:val="0"/>
        <w:keepLines w:val="0"/>
        <w:pageBreakBefore w:val="0"/>
        <w:widowControl/>
        <w:kinsoku/>
        <w:wordWrap/>
        <w:overflowPunct/>
        <w:topLinePunct w:val="0"/>
        <w:autoSpaceDE/>
        <w:autoSpaceDN/>
        <w:bidi w:val="0"/>
        <w:adjustRightInd/>
        <w:spacing w:line="600" w:lineRule="exact"/>
        <w:ind w:right="0" w:rightChars="0"/>
        <w:jc w:val="both"/>
        <w:textAlignment w:val="auto"/>
        <w:rPr>
          <w:rFonts w:hint="default" w:ascii="方正仿宋_GBK" w:hAnsi="方正仿宋_GBK" w:eastAsia="方正仿宋_GBK" w:cs="方正仿宋_GBK"/>
          <w:sz w:val="32"/>
          <w:szCs w:val="32"/>
          <w:lang w:val="en-US" w:eastAsia="zh-CN"/>
        </w:rPr>
      </w:pPr>
      <w:bookmarkStart w:id="0" w:name="_GoBack"/>
      <w:bookmarkEnd w:id="0"/>
      <w:r>
        <w:rPr>
          <w:rFonts w:hint="eastAsia" w:ascii="方正仿宋_GBK" w:hAnsi="方正仿宋_GBK" w:eastAsia="方正仿宋_GBK" w:cs="方正仿宋_GBK"/>
          <w:sz w:val="32"/>
          <w:szCs w:val="32"/>
          <w:lang w:val="en-US" w:eastAsia="zh-CN"/>
        </w:rPr>
        <w:t xml:space="preserve">    （此件公开发布）</w:t>
      </w:r>
    </w:p>
    <w:p>
      <w:pPr>
        <w:keepNext w:val="0"/>
        <w:keepLines w:val="0"/>
        <w:pageBreakBefore w:val="0"/>
        <w:widowControl/>
        <w:kinsoku/>
        <w:wordWrap/>
        <w:overflowPunct/>
        <w:topLinePunct w:val="0"/>
        <w:autoSpaceDE/>
        <w:autoSpaceDN/>
        <w:bidi w:val="0"/>
        <w:adjustRightInd/>
        <w:spacing w:line="600" w:lineRule="exact"/>
        <w:ind w:left="0" w:leftChars="0" w:right="0" w:rightChars="0"/>
        <w:jc w:val="both"/>
        <w:textAlignment w:val="auto"/>
        <w:rPr>
          <w:rStyle w:val="9"/>
          <w:rFonts w:hint="eastAsia" w:ascii="宋体" w:hAnsi="宋体" w:eastAsia="方正小标宋_GBK"/>
          <w:b w:val="0"/>
          <w:spacing w:val="-24"/>
          <w:sz w:val="32"/>
          <w:szCs w:val="32"/>
        </w:rPr>
      </w:pPr>
    </w:p>
    <w:p>
      <w:pPr>
        <w:keepNext w:val="0"/>
        <w:keepLines w:val="0"/>
        <w:pageBreakBefore w:val="0"/>
        <w:widowControl/>
        <w:kinsoku/>
        <w:wordWrap/>
        <w:overflowPunct/>
        <w:topLinePunct w:val="0"/>
        <w:autoSpaceDE/>
        <w:autoSpaceDN/>
        <w:bidi w:val="0"/>
        <w:adjustRightInd/>
        <w:spacing w:line="600" w:lineRule="exact"/>
        <w:ind w:left="0" w:leftChars="0" w:right="0" w:rightChars="0"/>
        <w:jc w:val="both"/>
        <w:textAlignment w:val="auto"/>
        <w:rPr>
          <w:rStyle w:val="9"/>
          <w:rFonts w:hint="eastAsia" w:ascii="宋体" w:hAnsi="宋体" w:eastAsia="方正小标宋_GBK"/>
          <w:b w:val="0"/>
          <w:spacing w:val="-24"/>
          <w:sz w:val="32"/>
          <w:szCs w:val="32"/>
        </w:rPr>
      </w:pPr>
    </w:p>
    <w:p>
      <w:pPr>
        <w:keepNext w:val="0"/>
        <w:keepLines w:val="0"/>
        <w:pageBreakBefore w:val="0"/>
        <w:widowControl/>
        <w:kinsoku/>
        <w:wordWrap/>
        <w:topLinePunct w:val="0"/>
        <w:bidi w:val="0"/>
        <w:adjustRightInd/>
        <w:spacing w:line="600" w:lineRule="exact"/>
        <w:ind w:left="0" w:leftChars="0" w:right="0" w:rightChars="0"/>
        <w:jc w:val="both"/>
        <w:textAlignment w:val="auto"/>
        <w:rPr>
          <w:rStyle w:val="9"/>
          <w:rFonts w:hint="eastAsia" w:ascii="宋体" w:hAnsi="宋体" w:eastAsia="方正小标宋_GBK"/>
          <w:b w:val="0"/>
          <w:spacing w:val="-24"/>
          <w:sz w:val="32"/>
          <w:szCs w:val="32"/>
        </w:rPr>
      </w:pPr>
    </w:p>
    <w:p>
      <w:pPr>
        <w:keepNext w:val="0"/>
        <w:keepLines w:val="0"/>
        <w:pageBreakBefore w:val="0"/>
        <w:widowControl/>
        <w:kinsoku/>
        <w:wordWrap/>
        <w:topLinePunct w:val="0"/>
        <w:bidi w:val="0"/>
        <w:adjustRightInd/>
        <w:spacing w:line="600" w:lineRule="exact"/>
        <w:ind w:left="0" w:leftChars="0" w:right="0" w:rightChars="0"/>
        <w:jc w:val="both"/>
        <w:textAlignment w:val="auto"/>
        <w:rPr>
          <w:rStyle w:val="9"/>
          <w:rFonts w:hint="eastAsia" w:ascii="宋体" w:hAnsi="宋体" w:eastAsia="方正小标宋_GBK"/>
          <w:b w:val="0"/>
          <w:spacing w:val="-24"/>
          <w:sz w:val="44"/>
          <w:szCs w:val="44"/>
        </w:rPr>
      </w:pPr>
    </w:p>
    <w:p>
      <w:pPr>
        <w:keepNext w:val="0"/>
        <w:keepLines w:val="0"/>
        <w:pageBreakBefore w:val="0"/>
        <w:widowControl/>
        <w:kinsoku/>
        <w:wordWrap/>
        <w:topLinePunct w:val="0"/>
        <w:bidi w:val="0"/>
        <w:adjustRightInd/>
        <w:spacing w:line="600" w:lineRule="exact"/>
        <w:ind w:left="0" w:leftChars="0" w:right="0" w:rightChars="0"/>
        <w:jc w:val="both"/>
        <w:textAlignment w:val="auto"/>
        <w:rPr>
          <w:rStyle w:val="9"/>
          <w:rFonts w:hint="eastAsia" w:ascii="宋体" w:hAnsi="宋体" w:eastAsia="方正小标宋_GBK"/>
          <w:b w:val="0"/>
          <w:spacing w:val="-24"/>
          <w:sz w:val="44"/>
          <w:szCs w:val="44"/>
        </w:rPr>
      </w:pP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eastAsia" w:ascii="方正小标宋_GBK" w:hAnsi="方正小标宋_GBK" w:eastAsia="方正小标宋_GBK" w:cs="方正小标宋_GBK"/>
          <w:bCs/>
          <w:color w:val="000000"/>
          <w:kern w:val="36"/>
          <w:sz w:val="44"/>
          <w:szCs w:val="44"/>
          <w:lang w:eastAsia="zh-CN"/>
        </w:rPr>
      </w:pPr>
      <w:r>
        <w:rPr>
          <w:rFonts w:hint="eastAsia" w:ascii="方正小标宋_GBK" w:hAnsi="方正小标宋_GBK" w:eastAsia="方正小标宋_GBK" w:cs="方正小标宋_GBK"/>
          <w:bCs/>
          <w:color w:val="000000"/>
          <w:kern w:val="36"/>
          <w:sz w:val="44"/>
          <w:szCs w:val="44"/>
          <w:lang w:eastAsia="zh-CN"/>
        </w:rPr>
        <w:t>江津区国有投资工程项目变更审核和结算复查</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eastAsia" w:ascii="方正小标宋_GBK" w:hAnsi="方正小标宋_GBK" w:eastAsia="方正小标宋_GBK" w:cs="方正小标宋_GBK"/>
          <w:bCs/>
          <w:color w:val="000000"/>
          <w:kern w:val="36"/>
          <w:sz w:val="44"/>
          <w:szCs w:val="44"/>
          <w:lang w:eastAsia="zh-CN"/>
        </w:rPr>
      </w:pPr>
      <w:r>
        <w:rPr>
          <w:rFonts w:hint="eastAsia" w:ascii="方正小标宋_GBK" w:hAnsi="方正小标宋_GBK" w:eastAsia="方正小标宋_GBK" w:cs="方正小标宋_GBK"/>
          <w:bCs/>
          <w:color w:val="000000"/>
          <w:kern w:val="36"/>
          <w:sz w:val="44"/>
          <w:szCs w:val="44"/>
          <w:lang w:eastAsia="zh-CN"/>
        </w:rPr>
        <w:t>审核实施细则（试行）</w:t>
      </w:r>
    </w:p>
    <w:p>
      <w:pPr>
        <w:keepNext w:val="0"/>
        <w:keepLines w:val="0"/>
        <w:pageBreakBefore w:val="0"/>
        <w:widowControl/>
        <w:kinsoku/>
        <w:wordWrap/>
        <w:topLinePunct w:val="0"/>
        <w:bidi w:val="0"/>
        <w:adjustRightInd/>
        <w:snapToGrid/>
        <w:spacing w:line="600" w:lineRule="exact"/>
        <w:ind w:left="0" w:leftChars="0" w:right="0" w:rightChars="0"/>
        <w:jc w:val="center"/>
        <w:textAlignment w:val="auto"/>
        <w:rPr>
          <w:rFonts w:ascii="宋体" w:hAnsi="宋体" w:eastAsia="方正仿宋_GBK"/>
          <w:sz w:val="44"/>
          <w:szCs w:val="44"/>
        </w:rPr>
      </w:pPr>
    </w:p>
    <w:p>
      <w:pPr>
        <w:keepNext w:val="0"/>
        <w:keepLines w:val="0"/>
        <w:pageBreakBefore w:val="0"/>
        <w:widowControl/>
        <w:kinsoku/>
        <w:wordWrap/>
        <w:topLinePunct w:val="0"/>
        <w:bidi w:val="0"/>
        <w:adjustRightInd/>
        <w:snapToGrid/>
        <w:spacing w:line="600" w:lineRule="exact"/>
        <w:ind w:left="0" w:leftChars="0" w:right="0" w:rightChars="0"/>
        <w:jc w:val="center"/>
        <w:textAlignment w:val="auto"/>
        <w:rPr>
          <w:rFonts w:ascii="宋体" w:hAnsi="宋体" w:eastAsia="方正黑体_GBK"/>
          <w:sz w:val="32"/>
          <w:szCs w:val="32"/>
        </w:rPr>
      </w:pPr>
      <w:r>
        <w:rPr>
          <w:rFonts w:hint="eastAsia" w:ascii="宋体" w:hAnsi="宋体" w:eastAsia="方正黑体_GBK"/>
          <w:sz w:val="32"/>
          <w:szCs w:val="32"/>
        </w:rPr>
        <w:t>第一章 总  则</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highlight w:val="yellow"/>
        </w:rPr>
      </w:pPr>
      <w:r>
        <w:rPr>
          <w:rFonts w:hint="eastAsia" w:ascii="宋体" w:hAnsi="宋体" w:eastAsia="方正黑体_GBK"/>
          <w:sz w:val="32"/>
          <w:szCs w:val="32"/>
        </w:rPr>
        <w:t>第一条</w:t>
      </w:r>
      <w:r>
        <w:rPr>
          <w:rFonts w:hint="eastAsia" w:ascii="方正仿宋_GBK" w:hAnsi="方正仿宋_GBK" w:eastAsia="方正仿宋_GBK" w:cs="方正仿宋_GBK"/>
          <w:sz w:val="32"/>
          <w:szCs w:val="32"/>
        </w:rPr>
        <w:t xml:space="preserve">  根据《重庆市政府投资管理办法》（重庆市人民政府令第339号）、《重庆市江津区人民政府办公室关于印发江津区国有投资工程项目变更审核和结算复查审核办法（试行）的通知》（江津府办发〔2021〕155号）等有关规定，结合我区实际情况，制定本细则。</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宋体" w:hAnsi="宋体" w:eastAsia="方正黑体_GBK"/>
          <w:sz w:val="32"/>
          <w:szCs w:val="32"/>
        </w:rPr>
        <w:t>第二条</w:t>
      </w:r>
      <w:r>
        <w:rPr>
          <w:rFonts w:hint="eastAsia" w:ascii="方正仿宋_GBK" w:hAnsi="方正仿宋_GBK" w:eastAsia="方正仿宋_GBK" w:cs="方正仿宋_GBK"/>
          <w:sz w:val="32"/>
          <w:szCs w:val="32"/>
        </w:rPr>
        <w:t xml:space="preserve">  本细则所称国有投资工程项目包括政府投资项目和国企投资项目。政府投资项目是指政府预算安排的资金采取直接投资方式投资的工程项目；国企投资项目是指区属国有企业（区属国有独资、国有全资、国有控股公司）自筹资金方式投资的工程项目。</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宋体" w:hAnsi="宋体" w:eastAsia="方正黑体_GBK"/>
          <w:sz w:val="32"/>
          <w:szCs w:val="32"/>
        </w:rPr>
        <w:t xml:space="preserve">第三条 </w:t>
      </w:r>
      <w:r>
        <w:rPr>
          <w:rFonts w:hint="eastAsia" w:ascii="方正仿宋_GBK" w:hAnsi="方正仿宋_GBK" w:eastAsia="方正仿宋_GBK" w:cs="方正仿宋_GBK"/>
          <w:sz w:val="32"/>
          <w:szCs w:val="32"/>
        </w:rPr>
        <w:t xml:space="preserve"> 本细则所指变更审核和结算复查审核是项目造价成本控制的重要手段，是财政部门对项目单位提交的工程项目变更和结算相关资料进行审核，对建设过程和财务管理进行合法合规性审核，以及对国有投资使用的各类资金来源进行专项检查的行为。</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宋体" w:hAnsi="宋体" w:eastAsia="方正黑体_GBK"/>
          <w:sz w:val="32"/>
          <w:szCs w:val="32"/>
        </w:rPr>
        <w:t xml:space="preserve">第四条  </w:t>
      </w:r>
      <w:r>
        <w:rPr>
          <w:rFonts w:hint="eastAsia" w:ascii="方正仿宋_GBK" w:hAnsi="方正仿宋_GBK" w:eastAsia="方正仿宋_GBK" w:cs="方正仿宋_GBK"/>
          <w:sz w:val="32"/>
          <w:szCs w:val="32"/>
        </w:rPr>
        <w:t>项目单位对工程项目变更审核和结算复查审核承担主体责任，对所提供资料的真实性、完整性、合规性、合法性负责。</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宋体" w:hAnsi="宋体" w:eastAsia="方正黑体_GBK"/>
          <w:sz w:val="32"/>
          <w:szCs w:val="32"/>
        </w:rPr>
        <w:t>第五条</w:t>
      </w:r>
      <w:r>
        <w:rPr>
          <w:rFonts w:hint="eastAsia" w:ascii="方正仿宋_GBK" w:hAnsi="方正仿宋_GBK" w:eastAsia="方正仿宋_GBK" w:cs="方正仿宋_GBK"/>
          <w:sz w:val="32"/>
          <w:szCs w:val="32"/>
        </w:rPr>
        <w:t xml:space="preserve">  国有投资项目变更审核和结算复查审核坚持“依法依规，规范建设程序；严控投资，提高资金效益”的原则。</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宋体" w:hAnsi="宋体" w:eastAsia="方正黑体_GBK"/>
          <w:sz w:val="32"/>
          <w:szCs w:val="32"/>
        </w:rPr>
        <w:t>第六条</w:t>
      </w:r>
      <w:r>
        <w:rPr>
          <w:rFonts w:hint="eastAsia" w:ascii="方正仿宋_GBK" w:hAnsi="方正仿宋_GBK" w:eastAsia="方正仿宋_GBK" w:cs="方正仿宋_GBK"/>
          <w:sz w:val="32"/>
          <w:szCs w:val="32"/>
        </w:rPr>
        <w:t xml:space="preserve">  国有投资项目变更审核和结算复查审核工作由区财政局负责管理，区国有投资评审中心（以下简称“评审中心”）组织实施。</w:t>
      </w:r>
    </w:p>
    <w:p>
      <w:pPr>
        <w:keepNext w:val="0"/>
        <w:keepLines w:val="0"/>
        <w:pageBreakBefore w:val="0"/>
        <w:widowControl/>
        <w:kinsoku/>
        <w:wordWrap/>
        <w:topLinePunct w:val="0"/>
        <w:bidi w:val="0"/>
        <w:adjustRightInd/>
        <w:snapToGrid/>
        <w:spacing w:line="600" w:lineRule="exact"/>
        <w:ind w:left="0" w:leftChars="0" w:right="0" w:rightChars="0"/>
        <w:textAlignment w:val="auto"/>
        <w:outlineLvl w:val="0"/>
        <w:rPr>
          <w:rFonts w:hint="eastAsia" w:ascii="方正仿宋_GBK" w:hAnsi="方正仿宋_GBK" w:eastAsia="方正仿宋_GBK" w:cs="方正仿宋_GBK"/>
          <w:sz w:val="32"/>
          <w:szCs w:val="32"/>
        </w:rPr>
      </w:pPr>
    </w:p>
    <w:p>
      <w:pPr>
        <w:keepNext w:val="0"/>
        <w:keepLines w:val="0"/>
        <w:pageBreakBefore w:val="0"/>
        <w:widowControl/>
        <w:kinsoku/>
        <w:wordWrap/>
        <w:topLinePunct w:val="0"/>
        <w:bidi w:val="0"/>
        <w:adjustRightInd/>
        <w:snapToGrid/>
        <w:spacing w:line="600" w:lineRule="exact"/>
        <w:ind w:right="0" w:rightChars="0"/>
        <w:jc w:val="center"/>
        <w:textAlignment w:val="auto"/>
        <w:rPr>
          <w:rFonts w:hint="eastAsia" w:ascii="宋体" w:hAnsi="宋体" w:eastAsia="方正黑体_GBK"/>
          <w:sz w:val="32"/>
          <w:szCs w:val="32"/>
        </w:rPr>
      </w:pPr>
      <w:r>
        <w:rPr>
          <w:rFonts w:hint="eastAsia" w:ascii="宋体" w:hAnsi="宋体" w:eastAsia="方正黑体_GBK"/>
          <w:sz w:val="32"/>
          <w:szCs w:val="32"/>
        </w:rPr>
        <w:t>第二章  变更审核</w:t>
      </w:r>
    </w:p>
    <w:p>
      <w:pPr>
        <w:keepNext w:val="0"/>
        <w:keepLines w:val="0"/>
        <w:pageBreakBefore w:val="0"/>
        <w:widowControl/>
        <w:kinsoku/>
        <w:wordWrap/>
        <w:overflowPunct w:val="0"/>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宋体" w:hAnsi="宋体" w:eastAsia="方正黑体_GBK"/>
          <w:sz w:val="32"/>
          <w:szCs w:val="32"/>
        </w:rPr>
        <w:t xml:space="preserve">第七条 </w:t>
      </w:r>
      <w:r>
        <w:rPr>
          <w:rFonts w:hint="eastAsia" w:ascii="方正仿宋_GBK" w:hAnsi="方正仿宋_GBK" w:eastAsia="方正仿宋_GBK" w:cs="方正仿宋_GBK"/>
          <w:sz w:val="32"/>
          <w:szCs w:val="32"/>
        </w:rPr>
        <w:t xml:space="preserve"> 变更审核范围及内容</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项目变更包括变更增加和变更减少两类，达到以下条件之一的项目，经区政府常务会议研究决定同意变更的，需报评审中心审核：</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政府投资项目变更累计金额超过概算批复的基本预备费的；</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政府投资项目变更累计金额</w:t>
      </w:r>
      <w:r>
        <w:rPr>
          <w:rFonts w:hint="eastAsia" w:ascii="方正仿宋_GBK" w:hAnsi="方正仿宋_GBK" w:eastAsia="方正仿宋_GBK" w:cs="方正仿宋_GBK"/>
          <w:color w:val="auto"/>
          <w:sz w:val="32"/>
          <w:szCs w:val="32"/>
          <w:highlight w:val="none"/>
        </w:rPr>
        <w:t>虽未超过概算批复基本预备费但单项（次）变更金额（增加或减少）达到200万元以上的；</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b w:val="0"/>
          <w:bCs/>
          <w:color w:val="auto"/>
          <w:sz w:val="32"/>
          <w:szCs w:val="32"/>
          <w:highlight w:val="none"/>
        </w:rPr>
        <w:t>国企投资项目单项（次）变更（增加或减少）超过合同金额10%且金额达到50万元以上或单项（次）变更金额（增加或减少）达到200万元以上的</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宋体" w:hAnsi="宋体" w:eastAsia="方正黑体_GBK"/>
          <w:sz w:val="32"/>
          <w:szCs w:val="32"/>
        </w:rPr>
        <w:t>第八条</w:t>
      </w:r>
      <w:r>
        <w:rPr>
          <w:rFonts w:hint="eastAsia" w:ascii="方正仿宋_GBK" w:hAnsi="方正仿宋_GBK" w:eastAsia="方正仿宋_GBK" w:cs="方正仿宋_GBK"/>
          <w:color w:val="auto"/>
          <w:sz w:val="32"/>
          <w:szCs w:val="32"/>
          <w:highlight w:val="none"/>
        </w:rPr>
        <w:t xml:space="preserve"> 报送变更审核前审批流程</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国有投资项目应当按照批准的建设地点、建设规模和建设内容实施。项目实施过程中，因客观原因需要变更的，遵循“先论证、再审批</w:t>
      </w:r>
      <w:r>
        <w:rPr>
          <w:rFonts w:hint="eastAsia" w:ascii="方正仿宋_GBK" w:hAnsi="方正仿宋_GBK" w:eastAsia="方正仿宋_GBK" w:cs="方正仿宋_GBK"/>
          <w:strike w:val="0"/>
          <w:dstrike w:val="0"/>
          <w:color w:val="auto"/>
          <w:sz w:val="32"/>
          <w:szCs w:val="32"/>
          <w:highlight w:val="none"/>
        </w:rPr>
        <w:t>、后实施</w:t>
      </w:r>
      <w:r>
        <w:rPr>
          <w:rFonts w:hint="eastAsia" w:ascii="方正仿宋_GBK" w:hAnsi="方正仿宋_GBK" w:eastAsia="方正仿宋_GBK" w:cs="方正仿宋_GBK"/>
          <w:color w:val="auto"/>
          <w:sz w:val="32"/>
          <w:szCs w:val="32"/>
          <w:highlight w:val="none"/>
        </w:rPr>
        <w:t>”原则：一是拟变更建设地点或者拟对建设规模、建设内容等作较大变更的，应当按照规定的程序报原审批部门审批；二是涉及技术变更的（无论设计方提出或建设方提出或施工方提出），必须由设计单位出具变更通知书（单）、变更图纸，设计</w:t>
      </w:r>
      <w:r>
        <w:rPr>
          <w:rFonts w:hint="eastAsia" w:ascii="方正仿宋_GBK" w:hAnsi="方正仿宋_GBK" w:eastAsia="方正仿宋_GBK" w:cs="方正仿宋_GBK"/>
          <w:color w:val="auto"/>
          <w:sz w:val="32"/>
          <w:szCs w:val="32"/>
          <w:highlight w:val="none"/>
          <w:lang w:val="en-US" w:eastAsia="zh-CN"/>
        </w:rPr>
        <w:t>需</w:t>
      </w:r>
      <w:r>
        <w:rPr>
          <w:rFonts w:hint="eastAsia" w:ascii="方正仿宋_GBK" w:hAnsi="方正仿宋_GBK" w:eastAsia="方正仿宋_GBK" w:cs="方正仿宋_GBK"/>
          <w:color w:val="auto"/>
          <w:sz w:val="32"/>
          <w:szCs w:val="32"/>
          <w:highlight w:val="none"/>
        </w:rPr>
        <w:t>原审批部门批准的应当履行审批；三是不涉及技术变更，仅与招标清单产生较大量差的工程量变更，由监理单位出具变更令。在变更实施之前，按以下程序审批：</w:t>
      </w:r>
    </w:p>
    <w:p>
      <w:pPr>
        <w:keepNext w:val="0"/>
        <w:keepLines w:val="0"/>
        <w:pageBreakBefore w:val="0"/>
        <w:widowControl/>
        <w:kinsoku/>
        <w:wordWrap/>
        <w:topLinePunct w:val="0"/>
        <w:bidi w:val="0"/>
        <w:adjustRightInd/>
        <w:snapToGrid/>
        <w:spacing w:line="600" w:lineRule="exact"/>
        <w:ind w:left="0" w:leftChars="0" w:right="0" w:rightChars="0" w:firstLine="64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政府投资项目变更累计金额超过概算批复的基本预备费，或国企投资项目单项（次）变更金额（增加或减少）超过合同金额10%且金额达到50万元以上，或单项（次）变更金额（增加或减少）达到200万元（含）以上，项目单位按照工程管理相关规定组织相关单位进行论证，送项目主管部门或管委会、发展中心（国企投资项目由管委会、发展中心或集团公司）初审变更方案和工程变更预算，经分管项目区领导、分管财政（国资）副区长、区长审批后，由区政府常务会议研究决定。审批完成后需送评审中心进行复查审核。</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政府投资项目累计变更金额未超过概算批复的基本预备费，同时单项（次）变更金额（增加或者减少）50万元（不含）以下的，项目单位按照工程管理相关规定组织相关单位进行论证，由项目主管部门（中心、管委会）审批变更方案和工程变更预算后执行。同时，项目单位需将变更情况报区发展改革委。此类变更不需报评审中心进行审核。</w:t>
      </w:r>
    </w:p>
    <w:p>
      <w:pPr>
        <w:keepNext w:val="0"/>
        <w:keepLines w:val="0"/>
        <w:pageBreakBefore w:val="0"/>
        <w:widowControl/>
        <w:kinsoku/>
        <w:wordWrap/>
        <w:topLinePunct w:val="0"/>
        <w:bidi w:val="0"/>
        <w:adjustRightInd/>
        <w:snapToGrid/>
        <w:spacing w:line="600" w:lineRule="exact"/>
        <w:ind w:left="0" w:leftChars="0" w:right="0" w:rightChars="0" w:firstLine="64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政府投资项目变更累计金额未超过概算批复的基本预备费，同时单项（次）变更金额在50万元（含）</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200万元（不含）之间的，项目单位按照工程管理相关规定组织相关单位进行论证，由项目主管部门（中心、管委会）初审变更方案和工程变更预算后，报分管项目的区领导审批。同时，项目单位需将变更情况报区发展改革委。此类变更不需报评审中心进行审核。</w:t>
      </w:r>
    </w:p>
    <w:p>
      <w:pPr>
        <w:keepNext w:val="0"/>
        <w:keepLines w:val="0"/>
        <w:pageBreakBefore w:val="0"/>
        <w:widowControl/>
        <w:kinsoku/>
        <w:wordWrap/>
        <w:topLinePunct w:val="0"/>
        <w:bidi w:val="0"/>
        <w:adjustRightInd/>
        <w:snapToGrid/>
        <w:spacing w:line="600" w:lineRule="exact"/>
        <w:ind w:left="0" w:leftChars="0" w:right="0" w:rightChars="0" w:firstLine="64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国企投资项目单项（次）变更金额（增加或者减少）50万元（不含）以下的，项目单位按照工程管理相关规定组织相关单位进行论证，报管委会、发展中心或集团公司审批变更方案和工程变更预算后执行。此类变更不需报评审中心进行审核。</w:t>
      </w:r>
    </w:p>
    <w:p>
      <w:pPr>
        <w:keepNext w:val="0"/>
        <w:keepLines w:val="0"/>
        <w:pageBreakBefore w:val="0"/>
        <w:widowControl/>
        <w:kinsoku/>
        <w:wordWrap/>
        <w:topLinePunct w:val="0"/>
        <w:bidi w:val="0"/>
        <w:adjustRightInd/>
        <w:snapToGrid/>
        <w:spacing w:line="600" w:lineRule="exact"/>
        <w:ind w:left="0" w:leftChars="0" w:right="0" w:rightChars="0" w:firstLine="64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国企投资项目单项（次）变更未超合同金额10%（含），同时单项（次）变更金额在50万元（含）</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200万元（不含）之间的，项目单位按照工程管理相关规定组织相关单位进行论证，由管委会、发展中心或集团公司初审变更方案和工程变更预算，报分管项目的区领导审批。此类变更不需报评审中心进行复查审核。</w:t>
      </w:r>
    </w:p>
    <w:p>
      <w:pPr>
        <w:keepNext w:val="0"/>
        <w:keepLines w:val="0"/>
        <w:pageBreakBefore w:val="0"/>
        <w:widowControl/>
        <w:kinsoku/>
        <w:wordWrap/>
        <w:topLinePunct w:val="0"/>
        <w:bidi w:val="0"/>
        <w:adjustRightInd/>
        <w:snapToGrid/>
        <w:spacing w:line="600" w:lineRule="exact"/>
        <w:ind w:left="0" w:leftChars="0" w:right="0" w:rightChars="0" w:firstLine="640"/>
        <w:jc w:val="both"/>
        <w:textAlignment w:val="auto"/>
        <w:rPr>
          <w:rFonts w:hint="eastAsia" w:ascii="方正仿宋_GBK" w:hAnsi="方正仿宋_GBK" w:eastAsia="方正仿宋_GBK" w:cs="方正仿宋_GBK"/>
          <w:color w:val="auto"/>
          <w:sz w:val="32"/>
          <w:szCs w:val="32"/>
          <w:highlight w:val="none"/>
        </w:rPr>
      </w:pPr>
      <w:r>
        <w:rPr>
          <w:rFonts w:hint="eastAsia" w:ascii="宋体" w:hAnsi="宋体" w:eastAsia="方正黑体_GBK"/>
          <w:sz w:val="32"/>
          <w:szCs w:val="32"/>
        </w:rPr>
        <w:t>第九条</w:t>
      </w:r>
      <w:r>
        <w:rPr>
          <w:rFonts w:hint="eastAsia" w:ascii="方正仿宋_GBK" w:hAnsi="方正仿宋_GBK" w:eastAsia="方正仿宋_GBK" w:cs="方正仿宋_GBK"/>
          <w:color w:val="auto"/>
          <w:sz w:val="32"/>
          <w:szCs w:val="32"/>
          <w:highlight w:val="none"/>
        </w:rPr>
        <w:t xml:space="preserve">  审核原则</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b w:val="0"/>
          <w:bCs/>
          <w:color w:val="auto"/>
          <w:sz w:val="32"/>
          <w:szCs w:val="32"/>
          <w:highlight w:val="none"/>
        </w:rPr>
      </w:pPr>
      <w:r>
        <w:rPr>
          <w:rFonts w:hint="eastAsia" w:ascii="方正仿宋_GBK" w:hAnsi="方正仿宋_GBK" w:eastAsia="方正仿宋_GBK" w:cs="方正仿宋_GBK"/>
          <w:b w:val="0"/>
          <w:bCs/>
          <w:color w:val="auto"/>
          <w:sz w:val="32"/>
          <w:szCs w:val="32"/>
          <w:highlight w:val="none"/>
        </w:rPr>
        <w:t>按合同约定变更条款执行。</w:t>
      </w:r>
    </w:p>
    <w:p>
      <w:pPr>
        <w:keepNext w:val="0"/>
        <w:keepLines w:val="0"/>
        <w:pageBreakBefore w:val="0"/>
        <w:widowControl/>
        <w:kinsoku/>
        <w:wordWrap/>
        <w:topLinePunct w:val="0"/>
        <w:bidi w:val="0"/>
        <w:adjustRightInd/>
        <w:snapToGrid/>
        <w:spacing w:line="600" w:lineRule="exact"/>
        <w:ind w:left="0" w:leftChars="0" w:right="0" w:rightChars="0" w:firstLine="640"/>
        <w:jc w:val="both"/>
        <w:textAlignment w:val="auto"/>
        <w:rPr>
          <w:rFonts w:hint="eastAsia" w:ascii="方正仿宋_GBK" w:hAnsi="方正仿宋_GBK" w:eastAsia="方正仿宋_GBK" w:cs="方正仿宋_GBK"/>
          <w:color w:val="auto"/>
          <w:sz w:val="32"/>
          <w:szCs w:val="32"/>
          <w:highlight w:val="none"/>
        </w:rPr>
      </w:pPr>
      <w:r>
        <w:rPr>
          <w:rFonts w:hint="eastAsia" w:ascii="宋体" w:hAnsi="宋体" w:eastAsia="方正黑体_GBK"/>
          <w:sz w:val="32"/>
          <w:szCs w:val="32"/>
        </w:rPr>
        <w:t>第十条</w:t>
      </w:r>
      <w:r>
        <w:rPr>
          <w:rFonts w:hint="eastAsia" w:ascii="方正仿宋_GBK" w:hAnsi="方正仿宋_GBK" w:eastAsia="方正仿宋_GBK" w:cs="方正仿宋_GBK"/>
          <w:color w:val="auto"/>
          <w:sz w:val="32"/>
          <w:szCs w:val="32"/>
          <w:highlight w:val="none"/>
        </w:rPr>
        <w:t xml:space="preserve">  报审时点</w:t>
      </w:r>
    </w:p>
    <w:p>
      <w:pPr>
        <w:keepNext w:val="0"/>
        <w:keepLines w:val="0"/>
        <w:pageBreakBefore w:val="0"/>
        <w:widowControl/>
        <w:kinsoku/>
        <w:wordWrap/>
        <w:topLinePunct w:val="0"/>
        <w:bidi w:val="0"/>
        <w:adjustRightInd/>
        <w:snapToGrid/>
        <w:spacing w:line="600" w:lineRule="exact"/>
        <w:ind w:left="0" w:leftChars="0" w:right="0" w:rightChars="0" w:firstLine="64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项目单位按照本细则第八条第1款审批完成后，向评审中心申请变更审核。</w:t>
      </w:r>
    </w:p>
    <w:p>
      <w:pPr>
        <w:keepNext w:val="0"/>
        <w:keepLines w:val="0"/>
        <w:pageBreakBefore w:val="0"/>
        <w:widowControl/>
        <w:kinsoku/>
        <w:wordWrap/>
        <w:overflowPunct w:val="0"/>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宋体" w:hAnsi="宋体" w:eastAsia="方正黑体_GBK"/>
          <w:sz w:val="32"/>
          <w:szCs w:val="32"/>
        </w:rPr>
        <w:t>第十一条</w:t>
      </w:r>
      <w:r>
        <w:rPr>
          <w:rFonts w:hint="eastAsia" w:ascii="方正仿宋_GBK" w:hAnsi="方正仿宋_GBK" w:eastAsia="方正仿宋_GBK" w:cs="方正仿宋_GBK"/>
          <w:color w:val="auto"/>
          <w:sz w:val="32"/>
          <w:szCs w:val="32"/>
          <w:highlight w:val="none"/>
        </w:rPr>
        <w:t xml:space="preserve">  资料清单 </w:t>
      </w:r>
      <w:r>
        <w:rPr>
          <w:rFonts w:hint="eastAsia" w:ascii="方正仿宋_GBK" w:hAnsi="方正仿宋_GBK" w:eastAsia="方正仿宋_GBK" w:cs="方正仿宋_GBK"/>
          <w:color w:val="auto"/>
          <w:sz w:val="32"/>
          <w:szCs w:val="32"/>
          <w:highlight w:val="none"/>
        </w:rPr>
        <w:tab/>
      </w:r>
    </w:p>
    <w:p>
      <w:pPr>
        <w:keepNext w:val="0"/>
        <w:keepLines w:val="0"/>
        <w:pageBreakBefore w:val="0"/>
        <w:widowControl/>
        <w:kinsoku/>
        <w:wordWrap/>
        <w:topLinePunct w:val="0"/>
        <w:bidi w:val="0"/>
        <w:adjustRightInd/>
        <w:snapToGrid/>
        <w:spacing w:line="600" w:lineRule="exact"/>
        <w:ind w:left="0" w:leftChars="0" w:right="0" w:rightChars="0" w:firstLine="63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申请变更审核的函（附件1）、评审项目审查表（到评审中心领取）；</w:t>
      </w:r>
    </w:p>
    <w:p>
      <w:pPr>
        <w:keepNext w:val="0"/>
        <w:keepLines w:val="0"/>
        <w:pageBreakBefore w:val="0"/>
        <w:widowControl/>
        <w:kinsoku/>
        <w:wordWrap/>
        <w:topLinePunct w:val="0"/>
        <w:bidi w:val="0"/>
        <w:adjustRightInd/>
        <w:snapToGrid/>
        <w:spacing w:line="600" w:lineRule="exact"/>
        <w:ind w:left="0" w:leftChars="0" w:right="0" w:rightChars="0" w:firstLine="63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按相应审批权限同意工程变更的书面依据；</w:t>
      </w:r>
    </w:p>
    <w:p>
      <w:pPr>
        <w:keepNext w:val="0"/>
        <w:keepLines w:val="0"/>
        <w:pageBreakBefore w:val="0"/>
        <w:widowControl/>
        <w:kinsoku/>
        <w:wordWrap/>
        <w:topLinePunct w:val="0"/>
        <w:bidi w:val="0"/>
        <w:adjustRightInd/>
        <w:snapToGrid/>
        <w:spacing w:line="600" w:lineRule="exact"/>
        <w:ind w:left="0" w:leftChars="0" w:right="0" w:rightChars="0" w:firstLine="63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经工程设计单位签字认可并</w:t>
      </w:r>
      <w:r>
        <w:rPr>
          <w:rFonts w:hint="eastAsia" w:ascii="方正仿宋_GBK" w:hAnsi="方正仿宋_GBK" w:eastAsia="方正仿宋_GBK" w:cs="方正仿宋_GBK"/>
          <w:color w:val="auto"/>
          <w:sz w:val="32"/>
          <w:szCs w:val="32"/>
          <w:highlight w:val="none"/>
          <w:lang w:val="en-US" w:eastAsia="zh-CN"/>
        </w:rPr>
        <w:t>加</w:t>
      </w:r>
      <w:r>
        <w:rPr>
          <w:rFonts w:hint="eastAsia" w:ascii="方正仿宋_GBK" w:hAnsi="方正仿宋_GBK" w:eastAsia="方正仿宋_GBK" w:cs="方正仿宋_GBK"/>
          <w:color w:val="auto"/>
          <w:sz w:val="32"/>
          <w:szCs w:val="32"/>
          <w:highlight w:val="none"/>
        </w:rPr>
        <w:t>盖设计单位公章的工程变更单；</w:t>
      </w:r>
    </w:p>
    <w:p>
      <w:pPr>
        <w:keepNext w:val="0"/>
        <w:keepLines w:val="0"/>
        <w:pageBreakBefore w:val="0"/>
        <w:widowControl/>
        <w:kinsoku/>
        <w:wordWrap/>
        <w:topLinePunct w:val="0"/>
        <w:bidi w:val="0"/>
        <w:adjustRightInd/>
        <w:snapToGrid/>
        <w:spacing w:line="600" w:lineRule="exact"/>
        <w:ind w:left="0" w:leftChars="0" w:right="0" w:rightChars="0" w:firstLine="63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经项目单位、设计单位、监理单位、施工单位签字（盖章）认可的变更施工方案；</w:t>
      </w:r>
    </w:p>
    <w:p>
      <w:pPr>
        <w:keepNext w:val="0"/>
        <w:keepLines w:val="0"/>
        <w:pageBreakBefore w:val="0"/>
        <w:widowControl/>
        <w:kinsoku/>
        <w:wordWrap/>
        <w:topLinePunct w:val="0"/>
        <w:bidi w:val="0"/>
        <w:adjustRightInd/>
        <w:snapToGrid/>
        <w:spacing w:line="600" w:lineRule="exact"/>
        <w:ind w:left="0" w:leftChars="0" w:right="0" w:rightChars="0" w:firstLine="63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变更预算书；</w:t>
      </w:r>
    </w:p>
    <w:p>
      <w:pPr>
        <w:keepNext w:val="0"/>
        <w:keepLines w:val="0"/>
        <w:pageBreakBefore w:val="0"/>
        <w:widowControl/>
        <w:kinsoku/>
        <w:wordWrap/>
        <w:topLinePunct w:val="0"/>
        <w:bidi w:val="0"/>
        <w:adjustRightInd/>
        <w:snapToGrid/>
        <w:spacing w:line="600" w:lineRule="exact"/>
        <w:ind w:left="0" w:leftChars="0" w:right="0" w:rightChars="0" w:firstLine="63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项目专业类别要求的其他必要资料（具体参考《评审项目审查表》中资料清单）。</w:t>
      </w:r>
    </w:p>
    <w:p>
      <w:pPr>
        <w:keepNext w:val="0"/>
        <w:keepLines w:val="0"/>
        <w:pageBreakBefore w:val="0"/>
        <w:widowControl/>
        <w:kinsoku/>
        <w:wordWrap/>
        <w:overflowPunct w:val="0"/>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宋体" w:hAnsi="宋体" w:eastAsia="方正黑体_GBK"/>
          <w:sz w:val="32"/>
          <w:szCs w:val="32"/>
        </w:rPr>
        <w:t>第十二条</w:t>
      </w:r>
      <w:r>
        <w:rPr>
          <w:rFonts w:hint="eastAsia" w:ascii="方正仿宋_GBK" w:hAnsi="方正仿宋_GBK" w:eastAsia="方正仿宋_GBK" w:cs="方正仿宋_GBK"/>
          <w:color w:val="auto"/>
          <w:sz w:val="32"/>
          <w:szCs w:val="32"/>
          <w:highlight w:val="none"/>
        </w:rPr>
        <w:t xml:space="preserve">  工作流程</w:t>
      </w:r>
    </w:p>
    <w:p>
      <w:pPr>
        <w:keepNext w:val="0"/>
        <w:keepLines w:val="0"/>
        <w:pageBreakBefore w:val="0"/>
        <w:widowControl/>
        <w:kinsoku/>
        <w:wordWrap/>
        <w:overflowPunct w:val="0"/>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项目单位到评审中心领取评审项目审查表，按照资料清单在江津区评审管理系统上提交资料；</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项目单位函告评审中心（此处需红头文件，尽量在公文系统上传，还未连接公文系统的可送纸质件）进行变更评审，同时将纸质件资料、电子件光盘和填写完整的项目审查表报送评审中心；</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评审中心对报送资料进行初审。对达到审核条件的项目，按《中华人民共和国</w:t>
      </w:r>
      <w:r>
        <w:rPr>
          <w:rFonts w:hint="eastAsia" w:ascii="方正仿宋_GBK" w:hAnsi="方正仿宋_GBK" w:eastAsia="方正仿宋_GBK" w:cs="方正仿宋_GBK"/>
          <w:color w:val="auto"/>
          <w:sz w:val="32"/>
          <w:szCs w:val="32"/>
          <w:highlight w:val="none"/>
          <w:lang w:val="en-US" w:eastAsia="zh-CN"/>
        </w:rPr>
        <w:t>政府</w:t>
      </w:r>
      <w:r>
        <w:rPr>
          <w:rFonts w:hint="eastAsia" w:ascii="方正仿宋_GBK" w:hAnsi="方正仿宋_GBK" w:eastAsia="方正仿宋_GBK" w:cs="方正仿宋_GBK"/>
          <w:color w:val="auto"/>
          <w:sz w:val="32"/>
          <w:szCs w:val="32"/>
          <w:highlight w:val="none"/>
        </w:rPr>
        <w:t>采购法》及相关配套文件规定采购中介机构；</w:t>
      </w:r>
    </w:p>
    <w:p>
      <w:pPr>
        <w:keepNext w:val="0"/>
        <w:keepLines w:val="0"/>
        <w:pageBreakBefore w:val="0"/>
        <w:widowControl/>
        <w:kinsoku/>
        <w:wordWrap/>
        <w:overflowPunct w:val="0"/>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评审中心组织相关人员对现场进行踏勘、调查、核实，按照合同约定变更条款、有关标准、定额、规定进行审核；</w:t>
      </w:r>
    </w:p>
    <w:p>
      <w:pPr>
        <w:keepNext w:val="0"/>
        <w:keepLines w:val="0"/>
        <w:pageBreakBefore w:val="0"/>
        <w:widowControl/>
        <w:kinsoku/>
        <w:wordWrap/>
        <w:overflowPunct w:val="0"/>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评审中心组织中介机构、项目单位及相关单位进行对量对价。原则上组织对量对价会不超过3次。对量对价完成后，评审中心召开例会集体讨论决策。例会讨论完成后，评审中心将取证记录、审核对比表发项目单位，项目单位应在</w:t>
      </w:r>
      <w:r>
        <w:rPr>
          <w:rFonts w:hint="eastAsia" w:ascii="方正仿宋_GBK" w:hAnsi="方正仿宋_GBK" w:eastAsia="方正仿宋_GBK" w:cs="方正仿宋_GBK"/>
          <w:color w:val="auto"/>
          <w:sz w:val="32"/>
          <w:szCs w:val="32"/>
          <w:highlight w:val="none"/>
          <w:lang w:val="en-US" w:eastAsia="zh-CN"/>
        </w:rPr>
        <w:t>10</w:t>
      </w:r>
      <w:r>
        <w:rPr>
          <w:rFonts w:hint="eastAsia" w:ascii="方正仿宋_GBK" w:hAnsi="方正仿宋_GBK" w:eastAsia="方正仿宋_GBK" w:cs="方正仿宋_GBK"/>
          <w:color w:val="auto"/>
          <w:sz w:val="32"/>
          <w:szCs w:val="32"/>
          <w:highlight w:val="none"/>
        </w:rPr>
        <w:t>个工作日内将取证记录反馈评审中心。当审核过程中遇到技术复杂、争议较大、重大决策、工程法律、技术力量紧缺等重大问题时，可邀请相应专业类别专家参与论证，论证后还不能达成一致意见的，报区财政局党组会审议，并可根据审议情况按流程直接上报区政府审批。</w:t>
      </w:r>
    </w:p>
    <w:p>
      <w:pPr>
        <w:keepNext w:val="0"/>
        <w:keepLines w:val="0"/>
        <w:pageBreakBefore w:val="0"/>
        <w:widowControl/>
        <w:kinsoku/>
        <w:wordWrap/>
        <w:overflowPunct w:val="0"/>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审批完成后，评审中心将审核结果函告项目单位。</w:t>
      </w:r>
    </w:p>
    <w:p>
      <w:pPr>
        <w:keepNext w:val="0"/>
        <w:keepLines w:val="0"/>
        <w:pageBreakBefore w:val="0"/>
        <w:widowControl/>
        <w:kinsoku/>
        <w:wordWrap/>
        <w:overflowPunct w:val="0"/>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宋体" w:hAnsi="宋体" w:eastAsia="方正黑体_GBK"/>
          <w:sz w:val="32"/>
          <w:szCs w:val="32"/>
        </w:rPr>
        <w:t>第十三条</w:t>
      </w:r>
      <w:r>
        <w:rPr>
          <w:rFonts w:hint="eastAsia" w:ascii="方正仿宋_GBK" w:hAnsi="方正仿宋_GBK" w:eastAsia="方正仿宋_GBK" w:cs="方正仿宋_GBK"/>
          <w:color w:val="auto"/>
          <w:sz w:val="32"/>
          <w:szCs w:val="32"/>
          <w:highlight w:val="none"/>
        </w:rPr>
        <w:t xml:space="preserve">  变更审核时限</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变更审核时限一般为</w:t>
      </w:r>
      <w:r>
        <w:rPr>
          <w:rFonts w:hint="eastAsia" w:ascii="方正仿宋_GBK" w:hAnsi="方正仿宋_GBK" w:eastAsia="方正仿宋_GBK" w:cs="方正仿宋_GBK"/>
          <w:color w:val="auto"/>
          <w:sz w:val="32"/>
          <w:szCs w:val="32"/>
          <w:highlight w:val="none"/>
          <w:lang w:val="en-US" w:eastAsia="zh-CN"/>
        </w:rPr>
        <w:t>20</w:t>
      </w:r>
      <w:r>
        <w:rPr>
          <w:rFonts w:hint="eastAsia" w:ascii="方正仿宋_GBK" w:hAnsi="方正仿宋_GBK" w:eastAsia="方正仿宋_GBK" w:cs="方正仿宋_GBK"/>
          <w:color w:val="auto"/>
          <w:sz w:val="32"/>
          <w:szCs w:val="32"/>
          <w:highlight w:val="none"/>
        </w:rPr>
        <w:t>个工作日。</w:t>
      </w:r>
      <w:r>
        <w:rPr>
          <w:rFonts w:hint="eastAsia" w:ascii="方正仿宋_GBK" w:hAnsi="方正仿宋_GBK" w:eastAsia="方正仿宋_GBK" w:cs="方正仿宋_GBK"/>
          <w:color w:val="auto"/>
          <w:sz w:val="32"/>
          <w:szCs w:val="32"/>
          <w:highlight w:val="none"/>
          <w:lang w:val="en-US" w:eastAsia="zh-CN"/>
        </w:rPr>
        <w:t>区政府同意变更后，项目单位将变更资料报送评审中心同时，施工变更工程，不因评审结果影响施工进度。变更时间</w:t>
      </w:r>
      <w:r>
        <w:rPr>
          <w:rFonts w:hint="eastAsia" w:ascii="方正仿宋_GBK" w:hAnsi="方正仿宋_GBK" w:eastAsia="方正仿宋_GBK" w:cs="方正仿宋_GBK"/>
          <w:color w:val="auto"/>
          <w:sz w:val="32"/>
          <w:szCs w:val="32"/>
          <w:highlight w:val="none"/>
        </w:rPr>
        <w:t>从评审中心确定项目单位报送资料满足审核条件起，至发出复查审核结果的函为止。审核过程中因项目单位不按规定的时间回复疑问，或因修改、补充资料等造成的延误，延误时间不计入审核时间。</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kinsoku/>
        <w:wordWrap/>
        <w:overflowPunct w:val="0"/>
        <w:topLinePunct w:val="0"/>
        <w:bidi w:val="0"/>
        <w:adjustRightInd/>
        <w:snapToGrid/>
        <w:spacing w:line="600" w:lineRule="exact"/>
        <w:ind w:right="0" w:rightChars="0"/>
        <w:jc w:val="center"/>
        <w:textAlignment w:val="auto"/>
        <w:rPr>
          <w:rFonts w:hint="eastAsia" w:ascii="宋体" w:hAnsi="宋体" w:eastAsia="方正黑体_GBK"/>
          <w:sz w:val="32"/>
          <w:szCs w:val="32"/>
        </w:rPr>
      </w:pPr>
      <w:r>
        <w:rPr>
          <w:rFonts w:hint="eastAsia" w:ascii="宋体" w:hAnsi="宋体" w:eastAsia="方正黑体_GBK"/>
          <w:sz w:val="32"/>
          <w:szCs w:val="32"/>
        </w:rPr>
        <w:t>第三章  结算报备</w:t>
      </w:r>
    </w:p>
    <w:p>
      <w:pPr>
        <w:keepNext w:val="0"/>
        <w:keepLines w:val="0"/>
        <w:pageBreakBefore w:val="0"/>
        <w:widowControl/>
        <w:kinsoku/>
        <w:wordWrap/>
        <w:overflowPunct w:val="0"/>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宋体" w:hAnsi="宋体" w:eastAsia="方正黑体_GBK"/>
          <w:sz w:val="32"/>
          <w:szCs w:val="32"/>
        </w:rPr>
        <w:t>第十四条</w:t>
      </w:r>
      <w:r>
        <w:rPr>
          <w:rFonts w:hint="eastAsia" w:ascii="方正仿宋_GBK" w:hAnsi="方正仿宋_GBK" w:eastAsia="方正仿宋_GBK" w:cs="方正仿宋_GBK"/>
          <w:color w:val="auto"/>
          <w:sz w:val="32"/>
          <w:szCs w:val="32"/>
          <w:highlight w:val="none"/>
        </w:rPr>
        <w:t xml:space="preserve">  报备范围</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结算金额50万元（含）</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400万元，且有立项（可研、概算批复或备案、核准）相关文件的国有投资工程项目。区审计局列入年度结（决）算审计计划的项目除外。</w:t>
      </w:r>
    </w:p>
    <w:p>
      <w:pPr>
        <w:keepNext w:val="0"/>
        <w:keepLines w:val="0"/>
        <w:pageBreakBefore w:val="0"/>
        <w:widowControl/>
        <w:kinsoku/>
        <w:wordWrap/>
        <w:overflowPunct w:val="0"/>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宋体" w:hAnsi="宋体" w:eastAsia="方正黑体_GBK"/>
          <w:sz w:val="32"/>
          <w:szCs w:val="32"/>
        </w:rPr>
        <w:t>第十五条</w:t>
      </w:r>
      <w:r>
        <w:rPr>
          <w:rFonts w:hint="eastAsia" w:ascii="方正仿宋_GBK" w:hAnsi="方正仿宋_GBK" w:eastAsia="方正仿宋_GBK" w:cs="方正仿宋_GBK"/>
          <w:color w:val="auto"/>
          <w:sz w:val="32"/>
          <w:szCs w:val="32"/>
          <w:highlight w:val="none"/>
        </w:rPr>
        <w:t xml:space="preserve">  报备资料清单</w:t>
      </w:r>
    </w:p>
    <w:p>
      <w:pPr>
        <w:keepNext w:val="0"/>
        <w:keepLines w:val="0"/>
        <w:pageBreakBefore w:val="0"/>
        <w:widowControl/>
        <w:kinsoku/>
        <w:wordWrap/>
        <w:overflowPunct w:val="0"/>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1</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《工程结算报备表》（附件2）一式三份</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kinsoku/>
        <w:wordWrap/>
        <w:overflowPunct w:val="0"/>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《工程项目结算书》</w:t>
      </w:r>
      <w:r>
        <w:rPr>
          <w:rFonts w:hint="eastAsia" w:ascii="方正仿宋_GBK" w:hAnsi="方正仿宋_GBK" w:eastAsia="方正仿宋_GBK" w:cs="方正仿宋_GBK"/>
          <w:color w:val="auto"/>
          <w:sz w:val="32"/>
          <w:szCs w:val="32"/>
          <w:highlight w:val="none"/>
          <w:lang w:val="en-US" w:eastAsia="zh-CN"/>
        </w:rPr>
        <w:t>原件一</w:t>
      </w:r>
      <w:r>
        <w:rPr>
          <w:rFonts w:hint="eastAsia" w:ascii="方正仿宋_GBK" w:hAnsi="方正仿宋_GBK" w:eastAsia="方正仿宋_GBK" w:cs="方正仿宋_GBK"/>
          <w:color w:val="auto"/>
          <w:sz w:val="32"/>
          <w:szCs w:val="32"/>
          <w:highlight w:val="none"/>
        </w:rPr>
        <w:t>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定案表复印件一份</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宋体" w:hAnsi="宋体" w:eastAsia="方正黑体_GBK"/>
          <w:sz w:val="32"/>
          <w:szCs w:val="32"/>
        </w:rPr>
        <w:t xml:space="preserve">第十六条 </w:t>
      </w:r>
      <w:r>
        <w:rPr>
          <w:rFonts w:hint="eastAsia" w:ascii="方正仿宋_GBK" w:hAnsi="方正仿宋_GBK" w:eastAsia="方正仿宋_GBK" w:cs="方正仿宋_GBK"/>
          <w:color w:val="auto"/>
          <w:sz w:val="32"/>
          <w:szCs w:val="32"/>
          <w:highlight w:val="none"/>
        </w:rPr>
        <w:t xml:space="preserve"> 结算报备流程及使用</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凡属上述结算报备范围的项目，项目单位在办理结算后1个月内，应将《工程结算报备表》和项目《工程结算书》同时报送评审中心和区审计局。</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项目单位在支付项目工程尾款时，应审查项目是否已经进行结算报备，凡未报备的可暂不支付，但不得违反相关规定或合同约定。</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评审中心抽审前，凡已按程序进行结算报备的国有投资工程项目，项目单位应依据合同约定支付工程款。</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宋体" w:hAnsi="宋体" w:eastAsia="方正黑体_GBK"/>
          <w:sz w:val="32"/>
          <w:szCs w:val="32"/>
        </w:rPr>
        <w:t xml:space="preserve">第十七条 </w:t>
      </w:r>
      <w:r>
        <w:rPr>
          <w:rFonts w:hint="eastAsia" w:ascii="方正仿宋_GBK" w:hAnsi="方正仿宋_GBK" w:eastAsia="方正仿宋_GBK" w:cs="方正仿宋_GBK"/>
          <w:color w:val="auto"/>
          <w:sz w:val="32"/>
          <w:szCs w:val="32"/>
          <w:highlight w:val="none"/>
        </w:rPr>
        <w:t xml:space="preserve"> 结算报备抽审</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val="0"/>
          <w:bCs/>
          <w:color w:val="auto"/>
          <w:sz w:val="32"/>
          <w:szCs w:val="32"/>
          <w:highlight w:val="none"/>
        </w:rPr>
        <w:t>评审中心于每季度末，按不少于结算报备个数</w:t>
      </w:r>
      <w:r>
        <w:rPr>
          <w:rFonts w:hint="eastAsia" w:ascii="方正仿宋_GBK" w:hAnsi="方正仿宋_GBK" w:eastAsia="方正仿宋_GBK" w:cs="方正仿宋_GBK"/>
          <w:b w:val="0"/>
          <w:bCs/>
          <w:color w:val="auto"/>
          <w:sz w:val="32"/>
          <w:szCs w:val="32"/>
          <w:highlight w:val="none"/>
          <w:lang w:val="en-US" w:eastAsia="zh-CN"/>
        </w:rPr>
        <w:t>50</w:t>
      </w:r>
      <w:r>
        <w:rPr>
          <w:rFonts w:hint="eastAsia" w:ascii="方正仿宋_GBK" w:hAnsi="方正仿宋_GBK" w:eastAsia="方正仿宋_GBK" w:cs="方正仿宋_GBK"/>
          <w:b w:val="0"/>
          <w:bCs/>
          <w:color w:val="auto"/>
          <w:sz w:val="32"/>
          <w:szCs w:val="32"/>
          <w:highlight w:val="none"/>
        </w:rPr>
        <w:t>%编制国有投资工程项目抽审计划，</w:t>
      </w:r>
      <w:r>
        <w:rPr>
          <w:rFonts w:hint="eastAsia" w:ascii="方正仿宋_GBK" w:hAnsi="方正仿宋_GBK" w:eastAsia="方正仿宋_GBK" w:cs="方正仿宋_GBK"/>
          <w:color w:val="auto"/>
          <w:sz w:val="32"/>
          <w:szCs w:val="32"/>
          <w:highlight w:val="none"/>
        </w:rPr>
        <w:t>报区政府同意后实施结算复查审核。</w:t>
      </w:r>
    </w:p>
    <w:p>
      <w:pPr>
        <w:keepNext w:val="0"/>
        <w:keepLines w:val="0"/>
        <w:pageBreakBefore w:val="0"/>
        <w:widowControl/>
        <w:kinsoku/>
        <w:wordWrap/>
        <w:topLinePunct w:val="0"/>
        <w:bidi w:val="0"/>
        <w:adjustRightInd/>
        <w:snapToGrid/>
        <w:spacing w:line="600" w:lineRule="exact"/>
        <w:ind w:left="0" w:leftChars="0" w:right="0" w:rightChars="0"/>
        <w:textAlignment w:val="auto"/>
        <w:outlineLvl w:val="0"/>
        <w:rPr>
          <w:rFonts w:hint="eastAsia" w:ascii="方正仿宋_GBK" w:hAnsi="方正仿宋_GBK" w:eastAsia="方正仿宋_GBK" w:cs="方正仿宋_GBK"/>
          <w:color w:val="auto"/>
          <w:sz w:val="32"/>
          <w:szCs w:val="32"/>
          <w:highlight w:val="none"/>
        </w:rPr>
      </w:pPr>
    </w:p>
    <w:p>
      <w:pPr>
        <w:keepNext w:val="0"/>
        <w:keepLines w:val="0"/>
        <w:pageBreakBefore w:val="0"/>
        <w:widowControl/>
        <w:kinsoku/>
        <w:wordWrap/>
        <w:topLinePunct w:val="0"/>
        <w:bidi w:val="0"/>
        <w:adjustRightInd/>
        <w:snapToGrid/>
        <w:spacing w:line="600" w:lineRule="exact"/>
        <w:ind w:right="0" w:rightChars="0"/>
        <w:jc w:val="center"/>
        <w:textAlignment w:val="auto"/>
        <w:rPr>
          <w:rFonts w:hint="eastAsia" w:ascii="宋体" w:hAnsi="宋体" w:eastAsia="方正黑体_GBK"/>
          <w:sz w:val="32"/>
          <w:szCs w:val="32"/>
        </w:rPr>
      </w:pPr>
      <w:r>
        <w:rPr>
          <w:rFonts w:hint="eastAsia" w:ascii="宋体" w:hAnsi="宋体" w:eastAsia="方正黑体_GBK"/>
          <w:sz w:val="32"/>
          <w:szCs w:val="32"/>
        </w:rPr>
        <w:t>第四章  结算复查审核</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宋体" w:hAnsi="宋体" w:eastAsia="方正黑体_GBK"/>
          <w:sz w:val="32"/>
          <w:szCs w:val="32"/>
        </w:rPr>
        <w:t>第十八条</w:t>
      </w:r>
      <w:r>
        <w:rPr>
          <w:rFonts w:hint="eastAsia" w:ascii="方正仿宋_GBK" w:hAnsi="方正仿宋_GBK" w:eastAsia="方正仿宋_GBK" w:cs="方正仿宋_GBK"/>
          <w:color w:val="auto"/>
          <w:sz w:val="32"/>
          <w:szCs w:val="32"/>
          <w:highlight w:val="none"/>
        </w:rPr>
        <w:t xml:space="preserve">  结算复查审核是在项目单位与施工单位办理完成结算基础上进行的，项目单位要按照相关法律法规及时与施工方办理工程竣工结算，不能以评审中心复查审核代替工程结算。</w:t>
      </w:r>
    </w:p>
    <w:p>
      <w:pPr>
        <w:keepNext w:val="0"/>
        <w:keepLines w:val="0"/>
        <w:pageBreakBefore w:val="0"/>
        <w:widowControl/>
        <w:kinsoku/>
        <w:wordWrap/>
        <w:overflowPunct w:val="0"/>
        <w:topLinePunct w:val="0"/>
        <w:bidi w:val="0"/>
        <w:adjustRightInd/>
        <w:snapToGrid/>
        <w:spacing w:line="600" w:lineRule="exact"/>
        <w:ind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宋体" w:hAnsi="宋体" w:eastAsia="方正黑体_GBK"/>
          <w:sz w:val="32"/>
          <w:szCs w:val="32"/>
        </w:rPr>
        <w:t xml:space="preserve">第十九条 </w:t>
      </w:r>
      <w:r>
        <w:rPr>
          <w:rFonts w:hint="eastAsia" w:ascii="方正仿宋_GBK" w:hAnsi="方正仿宋_GBK" w:eastAsia="方正仿宋_GBK" w:cs="方正仿宋_GBK"/>
          <w:color w:val="auto"/>
          <w:sz w:val="32"/>
          <w:szCs w:val="32"/>
          <w:highlight w:val="none"/>
        </w:rPr>
        <w:t xml:space="preserve"> 结算复查审核范围及内容</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结算金额400万元（含）以上工程项目，区审计局列入年度结（决）算审计计划的项目除外；</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结算金额50万元（含）</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400万元之间被抽中的结算报备工程项目；</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区委区政府交办项目、区纪委监委移交项目及其他需要结算复查审核的项目。</w:t>
      </w:r>
    </w:p>
    <w:p>
      <w:pPr>
        <w:keepNext w:val="0"/>
        <w:keepLines w:val="0"/>
        <w:pageBreakBefore w:val="0"/>
        <w:widowControl/>
        <w:kinsoku/>
        <w:wordWrap/>
        <w:overflowPunct w:val="0"/>
        <w:topLinePunct w:val="0"/>
        <w:bidi w:val="0"/>
        <w:adjustRightInd/>
        <w:snapToGrid/>
        <w:spacing w:line="600" w:lineRule="exact"/>
        <w:ind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宋体" w:hAnsi="宋体" w:eastAsia="方正黑体_GBK"/>
          <w:sz w:val="32"/>
          <w:szCs w:val="32"/>
        </w:rPr>
        <w:t>第二十条</w:t>
      </w:r>
      <w:r>
        <w:rPr>
          <w:rFonts w:hint="eastAsia" w:ascii="方正仿宋_GBK" w:hAnsi="方正仿宋_GBK" w:eastAsia="方正仿宋_GBK" w:cs="方正仿宋_GBK"/>
          <w:color w:val="auto"/>
          <w:sz w:val="32"/>
          <w:szCs w:val="32"/>
          <w:highlight w:val="none"/>
        </w:rPr>
        <w:t xml:space="preserve">  结算复查审核原则</w:t>
      </w:r>
    </w:p>
    <w:p>
      <w:pPr>
        <w:keepNext w:val="0"/>
        <w:keepLines w:val="0"/>
        <w:pageBreakBefore w:val="0"/>
        <w:widowControl/>
        <w:kinsoku/>
        <w:wordWrap/>
        <w:overflowPunct w:val="0"/>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以合同约定的结算方式进行复查审核；合同未约定或者约定显失公平的，按照有利于控制投资的原则依法进行复查审核。</w:t>
      </w:r>
    </w:p>
    <w:p>
      <w:pPr>
        <w:keepNext w:val="0"/>
        <w:keepLines w:val="0"/>
        <w:pageBreakBefore w:val="0"/>
        <w:widowControl/>
        <w:kinsoku/>
        <w:wordWrap/>
        <w:overflowPunct w:val="0"/>
        <w:topLinePunct w:val="0"/>
        <w:bidi w:val="0"/>
        <w:adjustRightInd/>
        <w:snapToGrid/>
        <w:spacing w:line="600" w:lineRule="exact"/>
        <w:ind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宋体" w:hAnsi="宋体" w:eastAsia="方正黑体_GBK"/>
          <w:sz w:val="32"/>
          <w:szCs w:val="32"/>
        </w:rPr>
        <w:t xml:space="preserve">第二十一条  </w:t>
      </w:r>
      <w:r>
        <w:rPr>
          <w:rFonts w:hint="eastAsia" w:ascii="方正仿宋_GBK" w:hAnsi="方正仿宋_GBK" w:eastAsia="方正仿宋_GBK" w:cs="方正仿宋_GBK"/>
          <w:color w:val="auto"/>
          <w:sz w:val="32"/>
          <w:szCs w:val="32"/>
          <w:highlight w:val="none"/>
        </w:rPr>
        <w:t>送审资料清单</w:t>
      </w:r>
    </w:p>
    <w:p>
      <w:pPr>
        <w:keepNext w:val="0"/>
        <w:keepLines w:val="0"/>
        <w:pageBreakBefore w:val="0"/>
        <w:widowControl/>
        <w:kinsoku/>
        <w:wordWrap/>
        <w:topLinePunct w:val="0"/>
        <w:autoSpaceDE w:val="0"/>
        <w:autoSpaceDN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申请结算复查审核的函（附件1）、评审项目审查表（到评审中心领取）；</w:t>
      </w:r>
    </w:p>
    <w:p>
      <w:pPr>
        <w:keepNext w:val="0"/>
        <w:keepLines w:val="0"/>
        <w:pageBreakBefore w:val="0"/>
        <w:widowControl/>
        <w:kinsoku/>
        <w:wordWrap/>
        <w:topLinePunct w:val="0"/>
        <w:autoSpaceDE w:val="0"/>
        <w:autoSpaceDN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工程预算审核相关文件、招标文件及招标答疑、工程投标文件、中标通知书；</w:t>
      </w:r>
    </w:p>
    <w:p>
      <w:pPr>
        <w:keepNext w:val="0"/>
        <w:keepLines w:val="0"/>
        <w:pageBreakBefore w:val="0"/>
        <w:widowControl/>
        <w:kinsoku/>
        <w:wordWrap/>
        <w:topLinePunct w:val="0"/>
        <w:autoSpaceDE w:val="0"/>
        <w:autoSpaceDN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工程施工合同、补充合同或施工协议书、开工报告；</w:t>
      </w:r>
    </w:p>
    <w:p>
      <w:pPr>
        <w:keepNext w:val="0"/>
        <w:keepLines w:val="0"/>
        <w:pageBreakBefore w:val="0"/>
        <w:widowControl/>
        <w:kinsoku/>
        <w:wordWrap/>
        <w:topLinePunct w:val="0"/>
        <w:autoSpaceDE w:val="0"/>
        <w:autoSpaceDN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工程竣工报告（备案表）或工程验收单、工程结算书；</w:t>
      </w:r>
    </w:p>
    <w:p>
      <w:pPr>
        <w:keepNext w:val="0"/>
        <w:keepLines w:val="0"/>
        <w:pageBreakBefore w:val="0"/>
        <w:widowControl/>
        <w:kinsoku/>
        <w:wordWrap/>
        <w:topLinePunct w:val="0"/>
        <w:autoSpaceDE w:val="0"/>
        <w:autoSpaceDN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经项目单位和施工单位复审认定的施工图和竣工图及相关的会审记录（图纸技术交底会议纪要），经相关单位复审认定的设计变更图、现场变更签证单；</w:t>
      </w:r>
    </w:p>
    <w:p>
      <w:pPr>
        <w:keepNext w:val="0"/>
        <w:keepLines w:val="0"/>
        <w:pageBreakBefore w:val="0"/>
        <w:widowControl/>
        <w:kinsoku/>
        <w:wordWrap/>
        <w:topLinePunct w:val="0"/>
        <w:autoSpaceDE w:val="0"/>
        <w:autoSpaceDN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立项、可研、概算批复或备案、核准相关文件；</w:t>
      </w:r>
    </w:p>
    <w:p>
      <w:pPr>
        <w:keepNext w:val="0"/>
        <w:keepLines w:val="0"/>
        <w:pageBreakBefore w:val="0"/>
        <w:widowControl/>
        <w:kinsoku/>
        <w:wordWrap/>
        <w:topLinePunct w:val="0"/>
        <w:autoSpaceDE w:val="0"/>
        <w:autoSpaceDN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7</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勘察、设计、监理招投标文件、合同；</w:t>
      </w:r>
    </w:p>
    <w:p>
      <w:pPr>
        <w:keepNext w:val="0"/>
        <w:keepLines w:val="0"/>
        <w:pageBreakBefore w:val="0"/>
        <w:widowControl/>
        <w:kinsoku/>
        <w:wordWrap/>
        <w:topLinePunct w:val="0"/>
        <w:autoSpaceDE w:val="0"/>
        <w:autoSpaceDN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8</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工程款支付凭证及发票；</w:t>
      </w:r>
    </w:p>
    <w:p>
      <w:pPr>
        <w:keepNext w:val="0"/>
        <w:keepLines w:val="0"/>
        <w:pageBreakBefore w:val="0"/>
        <w:widowControl/>
        <w:kinsoku/>
        <w:wordWrap/>
        <w:topLinePunct w:val="0"/>
        <w:autoSpaceDE w:val="0"/>
        <w:autoSpaceDN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9</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项目专业类别要求的其他必要资料（具体参考《评审项目审查表》中资料清单）。</w:t>
      </w:r>
    </w:p>
    <w:p>
      <w:pPr>
        <w:keepNext w:val="0"/>
        <w:keepLines w:val="0"/>
        <w:pageBreakBefore w:val="0"/>
        <w:widowControl/>
        <w:kinsoku/>
        <w:wordWrap/>
        <w:overflowPunct w:val="0"/>
        <w:topLinePunct w:val="0"/>
        <w:bidi w:val="0"/>
        <w:adjustRightInd/>
        <w:snapToGrid/>
        <w:spacing w:line="600" w:lineRule="exact"/>
        <w:ind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宋体" w:hAnsi="宋体" w:eastAsia="方正黑体_GBK"/>
          <w:sz w:val="32"/>
          <w:szCs w:val="32"/>
        </w:rPr>
        <w:t xml:space="preserve">第二十二条  </w:t>
      </w:r>
      <w:r>
        <w:rPr>
          <w:rFonts w:hint="eastAsia" w:ascii="方正仿宋_GBK" w:hAnsi="方正仿宋_GBK" w:eastAsia="方正仿宋_GBK" w:cs="方正仿宋_GBK"/>
          <w:color w:val="auto"/>
          <w:sz w:val="32"/>
          <w:szCs w:val="32"/>
          <w:highlight w:val="none"/>
        </w:rPr>
        <w:t>工作流程</w:t>
      </w:r>
    </w:p>
    <w:p>
      <w:pPr>
        <w:keepNext w:val="0"/>
        <w:keepLines w:val="0"/>
        <w:pageBreakBefore w:val="0"/>
        <w:widowControl/>
        <w:kinsoku/>
        <w:wordWrap/>
        <w:overflowPunct w:val="0"/>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项目单位到评审中心领取评审项目审查表，按照资料清单在江津区评审管理系统上提交资料。</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项目单位函告评审中心（此处需红头文件，尽量在公文系统上传，还未连接公文系统的单位可送纸质件）进行结算评审，同时将纸质件资料、电子件光盘和填写完整的项目审查表报送评审中心。</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评审中心对报送资料进行初审。对达到审核条件的项目，按《中华人民共和国</w:t>
      </w:r>
      <w:r>
        <w:rPr>
          <w:rFonts w:hint="eastAsia" w:ascii="方正仿宋_GBK" w:hAnsi="方正仿宋_GBK" w:eastAsia="方正仿宋_GBK" w:cs="方正仿宋_GBK"/>
          <w:color w:val="auto"/>
          <w:sz w:val="32"/>
          <w:szCs w:val="32"/>
          <w:highlight w:val="none"/>
          <w:lang w:val="en-US" w:eastAsia="zh-CN"/>
        </w:rPr>
        <w:t>政府</w:t>
      </w:r>
      <w:r>
        <w:rPr>
          <w:rFonts w:hint="eastAsia" w:ascii="方正仿宋_GBK" w:hAnsi="方正仿宋_GBK" w:eastAsia="方正仿宋_GBK" w:cs="方正仿宋_GBK"/>
          <w:color w:val="auto"/>
          <w:sz w:val="32"/>
          <w:szCs w:val="32"/>
          <w:highlight w:val="none"/>
        </w:rPr>
        <w:t>采购法》及相关配套文件规定采购中介机构。</w:t>
      </w:r>
    </w:p>
    <w:p>
      <w:pPr>
        <w:keepNext w:val="0"/>
        <w:keepLines w:val="0"/>
        <w:pageBreakBefore w:val="0"/>
        <w:widowControl/>
        <w:kinsoku/>
        <w:wordWrap/>
        <w:overflowPunct w:val="0"/>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评审中心将资料交中介机构同时对资料进行进一步审核，组织现场踏勘、调查、核实，按照有关标准、定额、规定进行复查审核。其中：</w:t>
      </w:r>
    </w:p>
    <w:p>
      <w:pPr>
        <w:keepNext w:val="0"/>
        <w:keepLines w:val="0"/>
        <w:pageBreakBefore w:val="0"/>
        <w:widowControl/>
        <w:kinsoku/>
        <w:wordWrap/>
        <w:overflowPunct w:val="0"/>
        <w:topLinePunct w:val="0"/>
        <w:autoSpaceDE/>
        <w:autoSpaceDN/>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b w:val="0"/>
          <w:bCs/>
          <w:color w:val="auto"/>
          <w:sz w:val="32"/>
          <w:szCs w:val="32"/>
          <w:highlight w:val="none"/>
        </w:rPr>
      </w:pPr>
      <w:r>
        <w:rPr>
          <w:rFonts w:hint="eastAsia" w:ascii="方正仿宋_GBK" w:hAnsi="方正仿宋_GBK" w:eastAsia="方正仿宋_GBK" w:cs="方正仿宋_GBK"/>
          <w:b w:val="0"/>
          <w:bCs/>
          <w:color w:val="auto"/>
          <w:sz w:val="32"/>
          <w:szCs w:val="32"/>
          <w:highlight w:val="none"/>
        </w:rPr>
        <w:t>如出现资料不完整或资料与现场不符的，评审中心通知项目单位于10个工作日内补充资料。如到期未补充资料或资料未补充完整，可进行退件处理。同时根据江津区经济社会发展业绩考核目标“上级交办任务”的扣分细则，量化扣分。</w:t>
      </w:r>
    </w:p>
    <w:p>
      <w:pPr>
        <w:keepNext w:val="0"/>
        <w:keepLines w:val="0"/>
        <w:pageBreakBefore w:val="0"/>
        <w:widowControl/>
        <w:kinsoku/>
        <w:wordWrap/>
        <w:overflowPunct w:val="0"/>
        <w:topLinePunct w:val="0"/>
        <w:autoSpaceDE/>
        <w:autoSpaceDN/>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val="0"/>
          <w:bCs/>
          <w:color w:val="auto"/>
          <w:sz w:val="32"/>
          <w:szCs w:val="32"/>
          <w:highlight w:val="none"/>
        </w:rPr>
        <w:t>如出现招标文件、投标文件与合同重要条款不一致，评审中</w:t>
      </w:r>
      <w:r>
        <w:rPr>
          <w:rFonts w:hint="eastAsia" w:ascii="方正仿宋_GBK" w:hAnsi="方正仿宋_GBK" w:eastAsia="方正仿宋_GBK" w:cs="方正仿宋_GBK"/>
          <w:color w:val="auto"/>
          <w:sz w:val="32"/>
          <w:szCs w:val="32"/>
          <w:highlight w:val="none"/>
        </w:rPr>
        <w:t>心发函请项目单位进行明确说明，如果项目单位未按时回复或理由不充分，则根据《江津区国有投资工程项目变更审核和结算复查审核办法（试行）》（江津府办发〔2021〕155号）， 按照有利于控制投资的原则，以较少的金额计算。</w:t>
      </w:r>
    </w:p>
    <w:p>
      <w:pPr>
        <w:keepNext w:val="0"/>
        <w:keepLines w:val="0"/>
        <w:pageBreakBefore w:val="0"/>
        <w:widowControl/>
        <w:kinsoku/>
        <w:wordWrap/>
        <w:overflowPunct w:val="0"/>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评审中心组织中介机构、项目单位及相关单位进行对量对价。原则上组织对量对价会不超过3次。对量对价完成后，评审中心召开例会集体讨论决策。例会讨论完成后，评审中心将取证记录、审核对比表发项目单位，项目单位应在5个工作日内将取证记录反馈评审中心。当审核过程中遇到技术复杂、争议较大、重大决策、工程法律、技术力量紧缺等重大问题时，可邀请相应专业类别专家参与论证，论证后还不能达成一致意见的，报区财政局党组会审议，并可根据审议情况按流程直接上报区政府审批。</w:t>
      </w:r>
    </w:p>
    <w:p>
      <w:pPr>
        <w:keepNext w:val="0"/>
        <w:keepLines w:val="0"/>
        <w:pageBreakBefore w:val="0"/>
        <w:widowControl/>
        <w:kinsoku/>
        <w:wordWrap/>
        <w:overflowPunct w:val="0"/>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中介机构出具正式报告后，评审中心将复查审核结果报区政府审批。区政府</w:t>
      </w:r>
      <w:r>
        <w:rPr>
          <w:rFonts w:hint="eastAsia" w:ascii="方正仿宋_GBK" w:hAnsi="方正仿宋_GBK" w:eastAsia="方正仿宋_GBK" w:cs="方正仿宋_GBK"/>
          <w:color w:val="auto"/>
          <w:sz w:val="32"/>
          <w:szCs w:val="32"/>
          <w:highlight w:val="none"/>
        </w:rPr>
        <w:t>审批完成后，评审中心将复查审核结果函告项目单位。</w:t>
      </w:r>
    </w:p>
    <w:p>
      <w:pPr>
        <w:keepNext w:val="0"/>
        <w:keepLines w:val="0"/>
        <w:pageBreakBefore w:val="0"/>
        <w:widowControl/>
        <w:kinsoku/>
        <w:wordWrap/>
        <w:overflowPunct w:val="0"/>
        <w:topLinePunct w:val="0"/>
        <w:bidi w:val="0"/>
        <w:adjustRightInd/>
        <w:snapToGrid/>
        <w:spacing w:line="600" w:lineRule="exact"/>
        <w:ind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宋体" w:hAnsi="宋体" w:eastAsia="方正黑体_GBK"/>
          <w:sz w:val="32"/>
          <w:szCs w:val="32"/>
        </w:rPr>
        <w:t>第二十三条</w:t>
      </w:r>
      <w:r>
        <w:rPr>
          <w:rFonts w:hint="eastAsia" w:ascii="方正仿宋_GBK" w:hAnsi="方正仿宋_GBK" w:eastAsia="方正仿宋_GBK" w:cs="方正仿宋_GBK"/>
          <w:color w:val="auto"/>
          <w:sz w:val="32"/>
          <w:szCs w:val="32"/>
          <w:highlight w:val="none"/>
        </w:rPr>
        <w:t xml:space="preserve">  复查审核时限</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结算复查审核时间节点指从评审中心确定项目单位报送资料满足审核条件起，至评审中心发出复查审核结果函为止。审核过程中因项目单位不按规定的时间回复疑问，或因修改、补充资料等造成的延误，延误时间不计入复查审核时间。其中：</w:t>
      </w:r>
    </w:p>
    <w:p>
      <w:pPr>
        <w:keepNext w:val="0"/>
        <w:keepLines w:val="0"/>
        <w:pageBreakBefore w:val="0"/>
        <w:widowControl/>
        <w:kinsoku/>
        <w:wordWrap/>
        <w:overflowPunct w:val="0"/>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送审金额在1000万元（含）以下的，审查时间不超过3个月；1000万元</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2000万（含）的，审查时间不超过6个月；2000万元以上的，审查时间不超过12个月。</w:t>
      </w:r>
    </w:p>
    <w:p>
      <w:pPr>
        <w:pStyle w:val="18"/>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宋体" w:hAnsi="宋体" w:eastAsia="方正黑体_GBK" w:cs="Times New Roman"/>
          <w:sz w:val="32"/>
          <w:szCs w:val="32"/>
          <w:lang w:val="en-US" w:eastAsia="en-US" w:bidi="ar-SA"/>
        </w:rPr>
        <w:t>第二十四条</w:t>
      </w:r>
      <w:r>
        <w:rPr>
          <w:rFonts w:hint="eastAsia" w:ascii="方正仿宋_GBK" w:hAnsi="方正仿宋_GBK" w:eastAsia="方正仿宋_GBK" w:cs="方正仿宋_GBK"/>
          <w:color w:val="auto"/>
          <w:sz w:val="32"/>
          <w:szCs w:val="32"/>
          <w:highlight w:val="none"/>
        </w:rPr>
        <w:t xml:space="preserve"> 审核结果处理</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评审中心将国有投资报备工程项目抽审结果报区政府同意后，将抽审情况通知项目单位，项目单位应在1个月内将结算复查审核相关资料报送评审中心进行结算复查审核，逾期未报送的，评审中心可作为问题线索移交区纪委监委。</w:t>
      </w:r>
    </w:p>
    <w:p>
      <w:pPr>
        <w:keepNext w:val="0"/>
        <w:keepLines w:val="0"/>
        <w:pageBreakBefore w:val="0"/>
        <w:widowControl/>
        <w:kinsoku/>
        <w:wordWrap/>
        <w:overflowPunct w:val="0"/>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对项目结算复查审核审减率超过2%（不含）或审减金额达到200万元及以上的，区财政局督促整改。审减率超过10%的，项目单位应向区财政局书面说明情况，区财政局纳入问题研判，可按规定移交区纪委监委。</w:t>
      </w:r>
    </w:p>
    <w:p>
      <w:pPr>
        <w:keepNext w:val="0"/>
        <w:keepLines w:val="0"/>
        <w:pageBreakBefore w:val="0"/>
        <w:widowControl/>
        <w:kinsoku/>
        <w:wordWrap/>
        <w:overflowPunct w:val="0"/>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b w:val="0"/>
          <w:bCs/>
          <w:color w:val="auto"/>
          <w:sz w:val="32"/>
          <w:szCs w:val="32"/>
          <w:highlight w:val="none"/>
        </w:rPr>
        <w:t>3</w:t>
      </w:r>
      <w:r>
        <w:rPr>
          <w:rFonts w:hint="eastAsia" w:ascii="方正仿宋_GBK" w:hAnsi="方正仿宋_GBK" w:eastAsia="方正仿宋_GBK" w:cs="方正仿宋_GBK"/>
          <w:b w:val="0"/>
          <w:bCs/>
          <w:color w:val="auto"/>
          <w:sz w:val="32"/>
          <w:szCs w:val="32"/>
          <w:highlight w:val="none"/>
          <w:lang w:eastAsia="zh-CN"/>
        </w:rPr>
        <w:t>.</w:t>
      </w:r>
      <w:r>
        <w:rPr>
          <w:rFonts w:hint="eastAsia" w:ascii="方正仿宋_GBK" w:hAnsi="方正仿宋_GBK" w:eastAsia="方正仿宋_GBK" w:cs="方正仿宋_GBK"/>
          <w:b w:val="0"/>
          <w:bCs/>
          <w:color w:val="auto"/>
          <w:sz w:val="32"/>
          <w:szCs w:val="32"/>
          <w:highlight w:val="none"/>
        </w:rPr>
        <w:t>纳入项目单位年度业绩考核。</w:t>
      </w:r>
      <w:r>
        <w:rPr>
          <w:rFonts w:hint="eastAsia" w:ascii="方正仿宋_GBK" w:hAnsi="方正仿宋_GBK" w:eastAsia="方正仿宋_GBK" w:cs="方正仿宋_GBK"/>
          <w:color w:val="auto"/>
          <w:sz w:val="32"/>
          <w:szCs w:val="32"/>
          <w:highlight w:val="none"/>
          <w:lang w:val="en-US" w:eastAsia="zh-CN"/>
        </w:rPr>
        <w:t>区财政局牵头，每年将复查审核结果（包含工程建设全过程）纳入项目单位年度实绩考核，重点就履行基本建设程序情况、投资控制和资金管理使用情况、项目建设管理情况、合同履行情况、工程质量管理情况、设备及全过程服务采购情况、工程结算情况、资金使用绩效等提出具体考核细则，按程序审定后执行</w:t>
      </w:r>
      <w:r>
        <w:rPr>
          <w:rFonts w:hint="eastAsia" w:ascii="方正仿宋_GBK" w:hAnsi="方正仿宋_GBK" w:eastAsia="方正仿宋_GBK" w:cs="方正仿宋_GBK"/>
          <w:b/>
          <w:color w:val="auto"/>
          <w:sz w:val="32"/>
          <w:szCs w:val="32"/>
          <w:highlight w:val="none"/>
        </w:rPr>
        <w:t>。</w:t>
      </w:r>
    </w:p>
    <w:p>
      <w:pPr>
        <w:keepNext w:val="0"/>
        <w:keepLines w:val="0"/>
        <w:pageBreakBefore w:val="0"/>
        <w:widowControl/>
        <w:kinsoku/>
        <w:wordWrap/>
        <w:overflowPunct w:val="0"/>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b w:val="0"/>
          <w:bCs/>
          <w:color w:val="auto"/>
          <w:sz w:val="32"/>
          <w:szCs w:val="32"/>
          <w:highlight w:val="none"/>
        </w:rPr>
      </w:pPr>
      <w:r>
        <w:rPr>
          <w:rFonts w:hint="eastAsia" w:ascii="方正仿宋_GBK" w:hAnsi="方正仿宋_GBK" w:eastAsia="方正仿宋_GBK" w:cs="方正仿宋_GBK"/>
          <w:b w:val="0"/>
          <w:bCs/>
          <w:color w:val="auto"/>
          <w:sz w:val="32"/>
          <w:szCs w:val="32"/>
          <w:highlight w:val="none"/>
        </w:rPr>
        <w:t>4</w:t>
      </w:r>
      <w:r>
        <w:rPr>
          <w:rFonts w:hint="eastAsia" w:ascii="方正仿宋_GBK" w:hAnsi="方正仿宋_GBK" w:eastAsia="方正仿宋_GBK" w:cs="方正仿宋_GBK"/>
          <w:b w:val="0"/>
          <w:bCs/>
          <w:color w:val="auto"/>
          <w:sz w:val="32"/>
          <w:szCs w:val="32"/>
          <w:highlight w:val="none"/>
          <w:lang w:eastAsia="zh-CN"/>
        </w:rPr>
        <w:t>.</w:t>
      </w:r>
      <w:r>
        <w:rPr>
          <w:rFonts w:hint="eastAsia" w:ascii="方正仿宋_GBK" w:hAnsi="方正仿宋_GBK" w:eastAsia="方正仿宋_GBK" w:cs="方正仿宋_GBK"/>
          <w:b w:val="0"/>
          <w:bCs/>
          <w:color w:val="auto"/>
          <w:sz w:val="32"/>
          <w:szCs w:val="32"/>
          <w:highlight w:val="none"/>
        </w:rPr>
        <w:t>以上1</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b w:val="0"/>
          <w:bCs/>
          <w:color w:val="auto"/>
          <w:sz w:val="32"/>
          <w:szCs w:val="32"/>
          <w:highlight w:val="none"/>
        </w:rPr>
        <w:t>3项，结算审计可参照执行。</w:t>
      </w:r>
    </w:p>
    <w:p>
      <w:pPr>
        <w:keepNext w:val="0"/>
        <w:keepLines w:val="0"/>
        <w:pageBreakBefore w:val="0"/>
        <w:widowControl/>
        <w:kinsoku/>
        <w:wordWrap/>
        <w:overflowPunct w:val="0"/>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宋体" w:hAnsi="宋体" w:eastAsia="方正黑体_GBK" w:cs="Times New Roman"/>
          <w:sz w:val="32"/>
          <w:szCs w:val="32"/>
          <w:lang w:val="en-US" w:eastAsia="en-US" w:bidi="ar-SA"/>
        </w:rPr>
        <w:t>第二十五条</w:t>
      </w:r>
      <w:r>
        <w:rPr>
          <w:rFonts w:hint="eastAsia" w:ascii="方正仿宋_GBK" w:hAnsi="方正仿宋_GBK" w:eastAsia="方正仿宋_GBK" w:cs="方正仿宋_GBK"/>
          <w:color w:val="auto"/>
          <w:sz w:val="32"/>
          <w:szCs w:val="32"/>
          <w:highlight w:val="none"/>
        </w:rPr>
        <w:t xml:space="preserve">  区财政局各有关科室和各单位有关财务部门在拨付工程项目尾款时，应审查项目是否已结算报备，凡不能提供《结算报备表》的暂不拨付。</w:t>
      </w:r>
    </w:p>
    <w:p>
      <w:pPr>
        <w:keepNext w:val="0"/>
        <w:keepLines w:val="0"/>
        <w:pageBreakBefore w:val="0"/>
        <w:widowControl/>
        <w:kinsoku/>
        <w:wordWrap/>
        <w:topLinePunct w:val="0"/>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kinsoku/>
        <w:wordWrap/>
        <w:overflowPunct w:val="0"/>
        <w:topLinePunct w:val="0"/>
        <w:bidi w:val="0"/>
        <w:adjustRightInd/>
        <w:snapToGrid/>
        <w:spacing w:line="600" w:lineRule="exact"/>
        <w:ind w:right="0" w:rightChars="0"/>
        <w:jc w:val="center"/>
        <w:textAlignment w:val="auto"/>
        <w:rPr>
          <w:rFonts w:hint="eastAsia" w:ascii="宋体" w:hAnsi="宋体" w:eastAsia="方正黑体_GBK" w:cs="Times New Roman"/>
          <w:sz w:val="32"/>
          <w:szCs w:val="32"/>
          <w:lang w:val="en-US" w:eastAsia="en-US" w:bidi="ar-SA"/>
        </w:rPr>
      </w:pPr>
      <w:r>
        <w:rPr>
          <w:rFonts w:hint="eastAsia" w:ascii="宋体" w:hAnsi="宋体" w:eastAsia="方正黑体_GBK" w:cs="Times New Roman"/>
          <w:sz w:val="32"/>
          <w:szCs w:val="32"/>
          <w:lang w:val="en-US" w:eastAsia="en-US" w:bidi="ar-SA"/>
        </w:rPr>
        <w:t>第</w:t>
      </w:r>
      <w:r>
        <w:rPr>
          <w:rFonts w:hint="eastAsia" w:ascii="宋体" w:hAnsi="宋体" w:eastAsia="方正黑体_GBK" w:cs="Times New Roman"/>
          <w:sz w:val="32"/>
          <w:szCs w:val="32"/>
          <w:lang w:val="en-US" w:eastAsia="zh-CN" w:bidi="ar-SA"/>
        </w:rPr>
        <w:t>五</w:t>
      </w:r>
      <w:r>
        <w:rPr>
          <w:rFonts w:hint="eastAsia" w:ascii="宋体" w:hAnsi="宋体" w:eastAsia="方正黑体_GBK" w:cs="Times New Roman"/>
          <w:sz w:val="32"/>
          <w:szCs w:val="32"/>
          <w:lang w:val="en-US" w:eastAsia="en-US" w:bidi="ar-SA"/>
        </w:rPr>
        <w:t>章  部门职责</w:t>
      </w:r>
    </w:p>
    <w:p>
      <w:pPr>
        <w:keepNext w:val="0"/>
        <w:keepLines w:val="0"/>
        <w:pageBreakBefore w:val="0"/>
        <w:widowControl/>
        <w:kinsoku/>
        <w:wordWrap/>
        <w:overflowPunct w:val="0"/>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宋体" w:hAnsi="宋体" w:eastAsia="方正黑体_GBK" w:cs="Times New Roman"/>
          <w:sz w:val="32"/>
          <w:szCs w:val="32"/>
          <w:lang w:val="en-US" w:eastAsia="en-US" w:bidi="ar-SA"/>
        </w:rPr>
        <w:t xml:space="preserve">第二十六条 </w:t>
      </w:r>
      <w:r>
        <w:rPr>
          <w:rFonts w:hint="eastAsia" w:ascii="方正仿宋_GBK" w:hAnsi="方正仿宋_GBK" w:eastAsia="方正仿宋_GBK" w:cs="方正仿宋_GBK"/>
          <w:color w:val="auto"/>
          <w:sz w:val="32"/>
          <w:szCs w:val="32"/>
          <w:highlight w:val="none"/>
        </w:rPr>
        <w:t xml:space="preserve">  区财政局职责</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（一）加强对基本建设财务活动的监管。制定国有投资项目复查审核规章制度，管理国有投资项目复查审核业务。</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（二）对评审中心报送审核报告进行审查，并按照程序上报。</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（三）按法律法规规定对服务中介实施监督管理，制定中介机构管理办法，按合同向审核中介机构和审核专家支付审核服务费、评审费。</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（四）完成项目结算备案和牵头建立信息共享。</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（五）完成其他工作任务。</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宋体" w:hAnsi="宋体" w:eastAsia="方正黑体_GBK" w:cs="Times New Roman"/>
          <w:sz w:val="32"/>
          <w:szCs w:val="32"/>
          <w:lang w:val="en-US" w:eastAsia="en-US" w:bidi="ar-SA"/>
        </w:rPr>
        <w:t xml:space="preserve">第二十七条 </w:t>
      </w:r>
      <w:r>
        <w:rPr>
          <w:rFonts w:hint="eastAsia" w:ascii="方正仿宋_GBK" w:hAnsi="方正仿宋_GBK" w:eastAsia="方正仿宋_GBK" w:cs="方正仿宋_GBK"/>
          <w:color w:val="auto"/>
          <w:sz w:val="32"/>
          <w:szCs w:val="32"/>
          <w:highlight w:val="none"/>
        </w:rPr>
        <w:t xml:space="preserve"> 项目单位职责</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（一）负责国有投资工程项目投资控制、进度控制、质量控制、安全管理、合同管理、信息管理，协调参建各方关系。</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（二）负责工程项目预算书、变更预算书、竣工结算书（含合同约定的计量周期结算书）编制。</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（三）负责工程现场管理、及时办理工程量签证、隐蔽工程的收方取证，按照合同支付工程款。</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四）负责对项目勘察、设计、监理、施工、造价等参建单位进行追责。对上述单位违反有关法律法规规定和国家强制性标准或过失导致投资增加，或编制审核的造价因漏项或计量偏差等技术性原因造成误差较大的，依法追究责任。</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（五）完成其他工作任务。</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宋体" w:hAnsi="宋体" w:eastAsia="方正黑体_GBK" w:cs="Times New Roman"/>
          <w:sz w:val="32"/>
          <w:szCs w:val="32"/>
          <w:lang w:val="en-US" w:eastAsia="en-US" w:bidi="ar-SA"/>
        </w:rPr>
        <w:t>第二十</w:t>
      </w:r>
      <w:r>
        <w:rPr>
          <w:rFonts w:hint="eastAsia" w:ascii="宋体" w:hAnsi="宋体" w:eastAsia="方正黑体_GBK" w:cs="Times New Roman"/>
          <w:sz w:val="32"/>
          <w:szCs w:val="32"/>
          <w:lang w:val="en-US" w:eastAsia="zh-CN" w:bidi="ar-SA"/>
        </w:rPr>
        <w:t>八</w:t>
      </w:r>
      <w:r>
        <w:rPr>
          <w:rFonts w:hint="eastAsia" w:ascii="宋体" w:hAnsi="宋体" w:eastAsia="方正黑体_GBK" w:cs="Times New Roman"/>
          <w:sz w:val="32"/>
          <w:szCs w:val="32"/>
          <w:lang w:val="en-US" w:eastAsia="en-US" w:bidi="ar-SA"/>
        </w:rPr>
        <w:t>条</w:t>
      </w:r>
      <w:r>
        <w:rPr>
          <w:rFonts w:hint="eastAsia" w:ascii="宋体" w:hAnsi="宋体" w:eastAsia="方正黑体_GBK" w:cs="Times New Roman"/>
          <w:sz w:val="32"/>
          <w:szCs w:val="32"/>
          <w:lang w:val="en-US" w:eastAsia="zh-CN" w:bidi="ar-SA"/>
        </w:rPr>
        <w:t xml:space="preserve"> </w:t>
      </w:r>
      <w:r>
        <w:rPr>
          <w:rFonts w:hint="eastAsia" w:ascii="方正仿宋_GBK" w:hAnsi="方正仿宋_GBK" w:eastAsia="方正仿宋_GBK" w:cs="方正仿宋_GBK"/>
          <w:color w:val="auto"/>
          <w:sz w:val="32"/>
          <w:szCs w:val="32"/>
          <w:highlight w:val="none"/>
          <w:lang w:val="en-US" w:eastAsia="zh-CN"/>
        </w:rPr>
        <w:t>本办法自印发之日起施行，《重庆市江津区财政局关于印发江津区政府投资工程项目复查审核实施细则（试行）的通知》（津财评〔2020〕8号）同时废止。</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center"/>
        <w:textAlignment w:val="auto"/>
        <w:rPr>
          <w:rFonts w:hint="eastAsia" w:ascii="方正小标宋_GBK" w:hAnsi="方正小标宋_GBK" w:eastAsia="方正小标宋_GBK" w:cs="方正小标宋_GBK"/>
          <w:bCs/>
          <w:color w:val="000000"/>
          <w:kern w:val="36"/>
          <w:sz w:val="44"/>
          <w:szCs w:val="44"/>
          <w:lang w:eastAsia="zh-CN"/>
        </w:rPr>
      </w:pPr>
      <w:r>
        <w:rPr>
          <w:rFonts w:hint="eastAsia" w:ascii="方正小标宋_GBK" w:hAnsi="方正小标宋_GBK" w:eastAsia="方正小标宋_GBK" w:cs="方正小标宋_GBK"/>
          <w:bCs/>
          <w:color w:val="000000"/>
          <w:kern w:val="36"/>
          <w:sz w:val="44"/>
          <w:szCs w:val="44"/>
          <w:lang w:eastAsia="zh-CN"/>
        </w:rPr>
        <w:t>关于XX项目变更（或结算复查）审核的函</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宋体" w:hAnsi="宋体"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区国有投资评审中心：</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根据《重庆市江津区人民政府办公室关于印发江津区国有投资工程项目变更审核和结算复查审核办法（试行）的通知》（江津府办发〔2021〕155号）精神，现将XX项目送你中心进行变更审核（或结算复查审核）</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ascii="宋体" w:hAnsi="宋体" w:eastAsia="方正黑体_GBK"/>
          <w:sz w:val="32"/>
          <w:szCs w:val="32"/>
        </w:rPr>
      </w:pPr>
      <w:r>
        <w:rPr>
          <w:rFonts w:hint="eastAsia" w:ascii="宋体" w:hAnsi="宋体" w:eastAsia="方正黑体_GBK"/>
          <w:sz w:val="32"/>
          <w:szCs w:val="32"/>
          <w:lang w:eastAsia="zh-CN"/>
        </w:rPr>
        <w:t>一、</w:t>
      </w:r>
      <w:r>
        <w:rPr>
          <w:rFonts w:hint="eastAsia" w:ascii="宋体" w:hAnsi="宋体" w:eastAsia="方正黑体_GBK"/>
          <w:sz w:val="32"/>
          <w:szCs w:val="32"/>
        </w:rPr>
        <w:t>基本情况</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ascii="宋体" w:hAnsi="宋体" w:eastAsia="方正仿宋_GBK"/>
          <w:sz w:val="32"/>
          <w:szCs w:val="32"/>
        </w:rPr>
      </w:pPr>
      <w:r>
        <w:rPr>
          <w:rFonts w:hint="eastAsia" w:ascii="宋体" w:hAnsi="宋体" w:eastAsia="方正仿宋_GBK"/>
          <w:sz w:val="32"/>
          <w:szCs w:val="32"/>
        </w:rPr>
        <w:t>项目名称、项目地点、项目规模、项目建设单位、设计（勘察）单位、施工单位、编制变更预算单位、监理单位等。</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ascii="宋体" w:hAnsi="宋体" w:eastAsia="方正黑体_GBK"/>
          <w:sz w:val="32"/>
          <w:szCs w:val="32"/>
        </w:rPr>
      </w:pPr>
      <w:r>
        <w:rPr>
          <w:rFonts w:hint="eastAsia" w:ascii="宋体" w:hAnsi="宋体" w:eastAsia="方正黑体_GBK"/>
          <w:sz w:val="32"/>
          <w:szCs w:val="32"/>
        </w:rPr>
        <w:t>二、变更审批情况</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ascii="宋体" w:hAnsi="宋体" w:eastAsia="方正仿宋_GBK"/>
          <w:sz w:val="32"/>
          <w:szCs w:val="32"/>
        </w:rPr>
      </w:pPr>
      <w:r>
        <w:rPr>
          <w:rFonts w:hint="eastAsia" w:ascii="宋体" w:hAnsi="宋体" w:eastAsia="方正仿宋_GBK"/>
          <w:sz w:val="32"/>
          <w:szCs w:val="32"/>
        </w:rPr>
        <w:t>变更原因及项目变更审批情况（包括是否履行内部审批程序、是否有变更设计、是否应报区政府审批等）。</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ascii="宋体" w:hAnsi="宋体" w:eastAsia="方正黑体_GBK"/>
          <w:sz w:val="32"/>
          <w:szCs w:val="32"/>
        </w:rPr>
      </w:pPr>
      <w:r>
        <w:rPr>
          <w:rFonts w:hint="eastAsia" w:ascii="宋体" w:hAnsi="宋体" w:eastAsia="方正黑体_GBK"/>
          <w:sz w:val="32"/>
          <w:szCs w:val="32"/>
        </w:rPr>
        <w:t>三、招（投）标情况</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ascii="宋体" w:hAnsi="宋体" w:eastAsia="方正仿宋_GBK"/>
          <w:sz w:val="32"/>
          <w:szCs w:val="32"/>
        </w:rPr>
      </w:pPr>
      <w:r>
        <w:rPr>
          <w:rFonts w:hint="eastAsia" w:ascii="宋体" w:hAnsi="宋体" w:eastAsia="方正仿宋_GBK"/>
          <w:sz w:val="32"/>
          <w:szCs w:val="32"/>
        </w:rPr>
        <w:t>项目招（投）标情况。</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ascii="宋体" w:hAnsi="宋体" w:eastAsia="方正黑体_GBK"/>
          <w:sz w:val="32"/>
          <w:szCs w:val="32"/>
        </w:rPr>
      </w:pPr>
      <w:r>
        <w:rPr>
          <w:rFonts w:hint="eastAsia" w:ascii="宋体" w:hAnsi="宋体" w:eastAsia="方正黑体_GBK"/>
          <w:sz w:val="32"/>
          <w:szCs w:val="32"/>
        </w:rPr>
        <w:t>四、施工合同（包括补充协议）签订情况</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宋体" w:hAnsi="宋体" w:eastAsia="方正仿宋_GBK"/>
          <w:sz w:val="32"/>
          <w:szCs w:val="32"/>
        </w:rPr>
      </w:pPr>
      <w:r>
        <w:rPr>
          <w:rFonts w:hint="eastAsia" w:ascii="宋体" w:hAnsi="宋体" w:eastAsia="方正仿宋_GBK"/>
          <w:sz w:val="32"/>
          <w:szCs w:val="32"/>
        </w:rPr>
        <w:t>合同签订时间、计量计价原则、变更条款、结算方式、支付方式等。</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ascii="宋体" w:hAnsi="宋体" w:eastAsia="方正黑体_GBK"/>
          <w:sz w:val="32"/>
          <w:szCs w:val="32"/>
        </w:rPr>
      </w:pPr>
      <w:r>
        <w:rPr>
          <w:rFonts w:hint="eastAsia" w:ascii="宋体" w:hAnsi="宋体" w:eastAsia="方正黑体_GBK"/>
          <w:sz w:val="32"/>
          <w:szCs w:val="32"/>
        </w:rPr>
        <w:t>五、工期情况</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ascii="宋体" w:hAnsi="宋体" w:eastAsia="方正仿宋_GBK"/>
          <w:sz w:val="32"/>
          <w:szCs w:val="32"/>
        </w:rPr>
      </w:pPr>
      <w:r>
        <w:rPr>
          <w:rFonts w:hint="eastAsia" w:ascii="宋体" w:hAnsi="宋体" w:eastAsia="方正仿宋_GBK"/>
          <w:sz w:val="32"/>
          <w:szCs w:val="32"/>
        </w:rPr>
        <w:t>变更项目已开工部分的开工时间、完工时间；结算项目工期情况。</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ascii="宋体" w:hAnsi="宋体" w:eastAsia="方正黑体_GBK"/>
          <w:sz w:val="32"/>
          <w:szCs w:val="32"/>
        </w:rPr>
      </w:pPr>
      <w:r>
        <w:rPr>
          <w:rFonts w:hint="eastAsia" w:ascii="宋体" w:hAnsi="宋体" w:eastAsia="方正黑体_GBK"/>
          <w:sz w:val="32"/>
          <w:szCs w:val="32"/>
        </w:rPr>
        <w:t>六、送审金额</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ascii="宋体" w:hAnsi="宋体" w:eastAsia="方正仿宋_GBK"/>
          <w:sz w:val="32"/>
          <w:szCs w:val="32"/>
        </w:rPr>
      </w:pPr>
      <w:r>
        <w:rPr>
          <w:rFonts w:hint="eastAsia" w:ascii="宋体" w:hAnsi="宋体" w:eastAsia="方正仿宋_GBK"/>
          <w:sz w:val="32"/>
          <w:szCs w:val="32"/>
        </w:rPr>
        <w:t>项目招（投）标金额，合同金额，变更增加、减少金额，施工单位报送结算书金额，项目单位初审（包括一审、二审）金额，送评审中心审核金额等。</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ascii="宋体" w:hAnsi="宋体" w:eastAsia="方正黑体_GBK"/>
          <w:sz w:val="32"/>
          <w:szCs w:val="32"/>
        </w:rPr>
      </w:pPr>
      <w:r>
        <w:rPr>
          <w:rFonts w:hint="eastAsia" w:ascii="宋体" w:hAnsi="宋体" w:eastAsia="方正黑体_GBK"/>
          <w:sz w:val="32"/>
          <w:szCs w:val="32"/>
        </w:rPr>
        <w:t>七、资料清单</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ascii="宋体" w:hAnsi="宋体" w:eastAsia="方正仿宋_GBK"/>
          <w:sz w:val="32"/>
          <w:szCs w:val="32"/>
        </w:rPr>
      </w:pPr>
      <w:r>
        <w:rPr>
          <w:rFonts w:hint="eastAsia" w:ascii="宋体" w:hAnsi="宋体" w:eastAsia="方正仿宋_GBK"/>
          <w:sz w:val="32"/>
          <w:szCs w:val="32"/>
        </w:rPr>
        <w:t>需详细写出资料名称、页数。</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ascii="宋体" w:hAnsi="宋体" w:eastAsia="方正仿宋_GBK"/>
          <w:sz w:val="32"/>
          <w:szCs w:val="32"/>
        </w:rPr>
      </w:pPr>
      <w:r>
        <w:rPr>
          <w:rFonts w:hint="eastAsia" w:ascii="宋体" w:hAnsi="宋体" w:eastAsia="方正黑体_GBK"/>
          <w:sz w:val="32"/>
          <w:szCs w:val="32"/>
        </w:rPr>
        <w:t>八、对接人员相关情况</w:t>
      </w:r>
      <w:r>
        <w:rPr>
          <w:rFonts w:hint="eastAsia" w:ascii="宋体" w:hAnsi="宋体" w:eastAsia="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我单位委托内部职工，姓名：     ，性别：     ，职务：   ，联系方式：      ，到区国有投资评审中心办理XX项目的变更审核（结算复查审核）事宜，对接该项目的一切审核工作。</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ascii="宋体" w:hAnsi="宋体" w:eastAsia="方正仿宋_GBK"/>
          <w:sz w:val="32"/>
          <w:szCs w:val="32"/>
        </w:rPr>
      </w:pPr>
      <w:r>
        <w:rPr>
          <w:rFonts w:hint="eastAsia" w:ascii="宋体" w:hAnsi="宋体" w:eastAsia="方正黑体_GBK"/>
          <w:sz w:val="32"/>
          <w:szCs w:val="32"/>
        </w:rPr>
        <w:t>九、其他情况（若有其</w:t>
      </w:r>
      <w:r>
        <w:rPr>
          <w:rFonts w:hint="eastAsia" w:ascii="宋体" w:hAnsi="宋体" w:eastAsia="方正黑体_GBK"/>
          <w:sz w:val="32"/>
          <w:szCs w:val="32"/>
          <w:lang w:val="en-US" w:eastAsia="zh-CN"/>
        </w:rPr>
        <w:t>他</w:t>
      </w:r>
      <w:r>
        <w:rPr>
          <w:rFonts w:hint="eastAsia" w:ascii="宋体" w:hAnsi="宋体" w:eastAsia="方正黑体_GBK"/>
          <w:sz w:val="32"/>
          <w:szCs w:val="32"/>
        </w:rPr>
        <w:t>特殊情况请写明）</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1.本单位承诺：按有关文件规定与你中心配合，按照要求提供与审核事项有关的项目资料和相关情况介绍，并根据要求进行自查。对所提供资料和相关情况介绍的真实性、完整性、合法性负责，如有漏报不再补充，如有虚假愿意承担相应的法律责任。   </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2.其他</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宋体" w:hAnsi="宋体" w:eastAsia="方正仿宋_GBK"/>
          <w:sz w:val="32"/>
          <w:szCs w:val="32"/>
        </w:rPr>
        <w:t xml:space="preserve"> </w:t>
      </w:r>
      <w:r>
        <w:rPr>
          <w:rFonts w:hint="eastAsia" w:ascii="方正仿宋_GBK" w:hAnsi="方正仿宋_GBK" w:eastAsia="方正仿宋_GBK" w:cs="方正仿宋_GBK"/>
          <w:sz w:val="32"/>
          <w:szCs w:val="32"/>
        </w:rPr>
        <w:t xml:space="preserve">                               法定代表人：</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项目经办人：</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（单位盖章）</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XX年XX月XX日</w:t>
      </w:r>
    </w:p>
    <w:p>
      <w:pPr>
        <w:keepNext w:val="0"/>
        <w:keepLines w:val="0"/>
        <w:pageBreakBefore w:val="0"/>
        <w:widowControl w:val="0"/>
        <w:kinsoku/>
        <w:wordWrap/>
        <w:overflowPunct/>
        <w:topLinePunct w:val="0"/>
        <w:autoSpaceDE/>
        <w:autoSpaceDN/>
        <w:bidi w:val="0"/>
        <w:adjustRightInd/>
        <w:snapToGrid/>
        <w:spacing w:line="420" w:lineRule="exact"/>
        <w:ind w:left="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tbl>
      <w:tblPr>
        <w:tblStyle w:val="7"/>
        <w:tblW w:w="31687" w:type="dxa"/>
        <w:tblInd w:w="86" w:type="dxa"/>
        <w:tblLayout w:type="fixed"/>
        <w:tblCellMar>
          <w:top w:w="0" w:type="dxa"/>
          <w:left w:w="108" w:type="dxa"/>
          <w:bottom w:w="0" w:type="dxa"/>
          <w:right w:w="108" w:type="dxa"/>
        </w:tblCellMar>
      </w:tblPr>
      <w:tblGrid>
        <w:gridCol w:w="31687"/>
      </w:tblGrid>
      <w:tr>
        <w:tblPrEx>
          <w:tblCellMar>
            <w:top w:w="0" w:type="dxa"/>
            <w:left w:w="108" w:type="dxa"/>
            <w:bottom w:w="0" w:type="dxa"/>
            <w:right w:w="108" w:type="dxa"/>
          </w:tblCellMar>
        </w:tblPrEx>
        <w:trPr>
          <w:trHeight w:val="5969" w:hRule="atLeast"/>
        </w:trPr>
        <w:tc>
          <w:tcPr>
            <w:tcW w:w="31687" w:type="dxa"/>
            <w:tcBorders>
              <w:top w:val="nil"/>
              <w:left w:val="nil"/>
              <w:bottom w:val="nil"/>
              <w:right w:val="nil"/>
            </w:tcBorders>
            <w:noWrap w:val="0"/>
            <w:vAlign w:val="top"/>
          </w:tcPr>
          <w:tbl>
            <w:tblPr>
              <w:tblStyle w:val="7"/>
              <w:tblW w:w="8788" w:type="dxa"/>
              <w:tblInd w:w="-65" w:type="dxa"/>
              <w:tblLayout w:type="fixed"/>
              <w:tblCellMar>
                <w:top w:w="0" w:type="dxa"/>
                <w:left w:w="0" w:type="dxa"/>
                <w:bottom w:w="0" w:type="dxa"/>
                <w:right w:w="0" w:type="dxa"/>
              </w:tblCellMar>
            </w:tblPr>
            <w:tblGrid>
              <w:gridCol w:w="2770"/>
              <w:gridCol w:w="374"/>
              <w:gridCol w:w="1506"/>
              <w:gridCol w:w="334"/>
              <w:gridCol w:w="2480"/>
              <w:gridCol w:w="231"/>
              <w:gridCol w:w="1093"/>
            </w:tblGrid>
            <w:tr>
              <w:tblPrEx>
                <w:tblCellMar>
                  <w:top w:w="0" w:type="dxa"/>
                  <w:left w:w="0" w:type="dxa"/>
                  <w:bottom w:w="0" w:type="dxa"/>
                  <w:right w:w="0" w:type="dxa"/>
                </w:tblCellMar>
              </w:tblPrEx>
              <w:trPr>
                <w:trHeight w:val="885" w:hRule="atLeast"/>
              </w:trPr>
              <w:tc>
                <w:tcPr>
                  <w:tcW w:w="8788" w:type="dxa"/>
                  <w:gridSpan w:val="7"/>
                  <w:tcBorders>
                    <w:top w:val="nil"/>
                    <w:left w:val="nil"/>
                    <w:bottom w:val="nil"/>
                    <w:right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宋体" w:hAnsi="宋体" w:eastAsia="方正小标宋_GBK" w:cs="宋体"/>
                      <w:b/>
                      <w:bCs/>
                      <w:sz w:val="44"/>
                      <w:szCs w:val="44"/>
                    </w:rPr>
                  </w:pPr>
                  <w:r>
                    <w:rPr>
                      <w:rFonts w:hint="eastAsia" w:ascii="方正小标宋_GBK" w:hAnsi="方正小标宋_GBK" w:eastAsia="方正小标宋_GBK" w:cs="方正小标宋_GBK"/>
                      <w:bCs/>
                      <w:color w:val="000000"/>
                      <w:kern w:val="36"/>
                      <w:sz w:val="44"/>
                      <w:szCs w:val="44"/>
                      <w:lang w:eastAsia="zh-CN"/>
                    </w:rPr>
                    <w:t>江津区国有投资工程项目结算报备表</w:t>
                  </w:r>
                </w:p>
              </w:tc>
            </w:tr>
            <w:tr>
              <w:tblPrEx>
                <w:tblCellMar>
                  <w:top w:w="0" w:type="dxa"/>
                  <w:left w:w="0" w:type="dxa"/>
                  <w:bottom w:w="0" w:type="dxa"/>
                  <w:right w:w="0" w:type="dxa"/>
                </w:tblCellMar>
              </w:tblPrEx>
              <w:trPr>
                <w:trHeight w:val="480" w:hRule="atLeast"/>
              </w:trPr>
              <w:tc>
                <w:tcPr>
                  <w:tcW w:w="8788" w:type="dxa"/>
                  <w:gridSpan w:val="7"/>
                  <w:tcBorders>
                    <w:top w:val="nil"/>
                    <w:left w:val="nil"/>
                    <w:bottom w:val="nil"/>
                    <w:right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编号：（评202  —结备—  ）         报备时间：</w:t>
                  </w:r>
                </w:p>
              </w:tc>
            </w:tr>
            <w:tr>
              <w:tblPrEx>
                <w:tblCellMar>
                  <w:top w:w="0" w:type="dxa"/>
                  <w:left w:w="0" w:type="dxa"/>
                  <w:bottom w:w="0" w:type="dxa"/>
                  <w:right w:w="0" w:type="dxa"/>
                </w:tblCellMar>
              </w:tblPrEx>
              <w:trPr>
                <w:trHeight w:val="155" w:hRule="atLeast"/>
              </w:trPr>
              <w:tc>
                <w:tcPr>
                  <w:tcW w:w="27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项目名称（全称）</w:t>
                  </w:r>
                </w:p>
              </w:tc>
              <w:tc>
                <w:tcPr>
                  <w:tcW w:w="6018" w:type="dxa"/>
                  <w:gridSpan w:val="6"/>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tc>
            </w:tr>
            <w:tr>
              <w:tblPrEx>
                <w:tblCellMar>
                  <w:top w:w="0" w:type="dxa"/>
                  <w:left w:w="0" w:type="dxa"/>
                  <w:bottom w:w="0" w:type="dxa"/>
                  <w:right w:w="0" w:type="dxa"/>
                </w:tblCellMar>
              </w:tblPrEx>
              <w:trPr>
                <w:trHeight w:val="407" w:hRule="atLeast"/>
              </w:trPr>
              <w:tc>
                <w:tcPr>
                  <w:tcW w:w="277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项目建设业主单位</w:t>
                  </w:r>
                </w:p>
              </w:tc>
              <w:tc>
                <w:tcPr>
                  <w:tcW w:w="6018" w:type="dxa"/>
                  <w:gridSpan w:val="6"/>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tc>
            </w:tr>
            <w:tr>
              <w:tblPrEx>
                <w:tblCellMar>
                  <w:top w:w="0" w:type="dxa"/>
                  <w:left w:w="0" w:type="dxa"/>
                  <w:bottom w:w="0" w:type="dxa"/>
                  <w:right w:w="0" w:type="dxa"/>
                </w:tblCellMar>
              </w:tblPrEx>
              <w:trPr>
                <w:trHeight w:val="396" w:hRule="atLeast"/>
              </w:trPr>
              <w:tc>
                <w:tcPr>
                  <w:tcW w:w="2770" w:type="dxa"/>
                  <w:tcBorders>
                    <w:top w:val="nil"/>
                    <w:left w:val="single" w:color="auto" w:sz="4" w:space="0"/>
                    <w:bottom w:val="nil"/>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立项（备案、核准） 批复文号</w:t>
                  </w:r>
                </w:p>
              </w:tc>
              <w:tc>
                <w:tcPr>
                  <w:tcW w:w="1880" w:type="dxa"/>
                  <w:gridSpan w:val="2"/>
                  <w:tcBorders>
                    <w:top w:val="nil"/>
                    <w:left w:val="nil"/>
                    <w:bottom w:val="nil"/>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tc>
              <w:tc>
                <w:tcPr>
                  <w:tcW w:w="3045" w:type="dxa"/>
                  <w:gridSpan w:val="3"/>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立项（备案、核准）批复金额（万元）</w:t>
                  </w:r>
                </w:p>
              </w:tc>
              <w:tc>
                <w:tcPr>
                  <w:tcW w:w="10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tc>
            </w:tr>
            <w:tr>
              <w:tblPrEx>
                <w:tblCellMar>
                  <w:top w:w="0" w:type="dxa"/>
                  <w:left w:w="0" w:type="dxa"/>
                  <w:bottom w:w="0" w:type="dxa"/>
                  <w:right w:w="0" w:type="dxa"/>
                </w:tblCellMar>
              </w:tblPrEx>
              <w:trPr>
                <w:trHeight w:val="392" w:hRule="atLeast"/>
              </w:trPr>
              <w:tc>
                <w:tcPr>
                  <w:tcW w:w="2770" w:type="dxa"/>
                  <w:tcBorders>
                    <w:top w:val="single" w:color="auto" w:sz="4" w:space="0"/>
                    <w:left w:val="single" w:color="auto" w:sz="4" w:space="0"/>
                    <w:bottom w:val="nil"/>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可研批复文号</w:t>
                  </w:r>
                </w:p>
              </w:tc>
              <w:tc>
                <w:tcPr>
                  <w:tcW w:w="1880" w:type="dxa"/>
                  <w:gridSpan w:val="2"/>
                  <w:tcBorders>
                    <w:top w:val="single" w:color="auto" w:sz="4" w:space="0"/>
                    <w:left w:val="nil"/>
                    <w:bottom w:val="nil"/>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tc>
              <w:tc>
                <w:tcPr>
                  <w:tcW w:w="3045" w:type="dxa"/>
                  <w:gridSpan w:val="3"/>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可研批复金额（万元）</w:t>
                  </w:r>
                </w:p>
              </w:tc>
              <w:tc>
                <w:tcPr>
                  <w:tcW w:w="10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tc>
            </w:tr>
            <w:tr>
              <w:tblPrEx>
                <w:tblCellMar>
                  <w:top w:w="0" w:type="dxa"/>
                  <w:left w:w="0" w:type="dxa"/>
                  <w:bottom w:w="0" w:type="dxa"/>
                  <w:right w:w="0" w:type="dxa"/>
                </w:tblCellMar>
              </w:tblPrEx>
              <w:trPr>
                <w:trHeight w:val="412" w:hRule="atLeast"/>
              </w:trPr>
              <w:tc>
                <w:tcPr>
                  <w:tcW w:w="27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概算批复文号</w:t>
                  </w:r>
                </w:p>
              </w:tc>
              <w:tc>
                <w:tcPr>
                  <w:tcW w:w="18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tc>
              <w:tc>
                <w:tcPr>
                  <w:tcW w:w="3045" w:type="dxa"/>
                  <w:gridSpan w:val="3"/>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概算审核中介单位</w:t>
                  </w:r>
                </w:p>
              </w:tc>
              <w:tc>
                <w:tcPr>
                  <w:tcW w:w="10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tc>
            </w:tr>
            <w:tr>
              <w:tblPrEx>
                <w:tblCellMar>
                  <w:top w:w="0" w:type="dxa"/>
                  <w:left w:w="0" w:type="dxa"/>
                  <w:bottom w:w="0" w:type="dxa"/>
                  <w:right w:w="0" w:type="dxa"/>
                </w:tblCellMar>
              </w:tblPrEx>
              <w:trPr>
                <w:trHeight w:val="399" w:hRule="atLeast"/>
              </w:trPr>
              <w:tc>
                <w:tcPr>
                  <w:tcW w:w="277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概算批复金额</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（万元）</w:t>
                  </w:r>
                </w:p>
              </w:tc>
              <w:tc>
                <w:tcPr>
                  <w:tcW w:w="1880"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tc>
              <w:tc>
                <w:tcPr>
                  <w:tcW w:w="3045" w:type="dxa"/>
                  <w:gridSpan w:val="3"/>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概算批复工程费金额（万元）</w:t>
                  </w:r>
                </w:p>
              </w:tc>
              <w:tc>
                <w:tcPr>
                  <w:tcW w:w="10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tc>
            </w:tr>
            <w:tr>
              <w:tblPrEx>
                <w:tblCellMar>
                  <w:top w:w="0" w:type="dxa"/>
                  <w:left w:w="0" w:type="dxa"/>
                  <w:bottom w:w="0" w:type="dxa"/>
                  <w:right w:w="0" w:type="dxa"/>
                </w:tblCellMar>
              </w:tblPrEx>
              <w:trPr>
                <w:trHeight w:val="419" w:hRule="atLeast"/>
              </w:trPr>
              <w:tc>
                <w:tcPr>
                  <w:tcW w:w="277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概算批复基本预备费金额（万元）</w:t>
                  </w:r>
                </w:p>
              </w:tc>
              <w:tc>
                <w:tcPr>
                  <w:tcW w:w="1880"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tc>
              <w:tc>
                <w:tcPr>
                  <w:tcW w:w="3045" w:type="dxa"/>
                  <w:gridSpan w:val="3"/>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项目资金来源</w:t>
                  </w:r>
                </w:p>
              </w:tc>
              <w:tc>
                <w:tcPr>
                  <w:tcW w:w="10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tc>
            </w:tr>
            <w:tr>
              <w:tblPrEx>
                <w:tblCellMar>
                  <w:top w:w="0" w:type="dxa"/>
                  <w:left w:w="0" w:type="dxa"/>
                  <w:bottom w:w="0" w:type="dxa"/>
                  <w:right w:w="0" w:type="dxa"/>
                </w:tblCellMar>
              </w:tblPrEx>
              <w:trPr>
                <w:trHeight w:val="343" w:hRule="atLeast"/>
              </w:trPr>
              <w:tc>
                <w:tcPr>
                  <w:tcW w:w="277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地勘单位</w:t>
                  </w:r>
                </w:p>
              </w:tc>
              <w:tc>
                <w:tcPr>
                  <w:tcW w:w="1880"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tc>
              <w:tc>
                <w:tcPr>
                  <w:tcW w:w="3045" w:type="dxa"/>
                  <w:gridSpan w:val="3"/>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施工图设计单位</w:t>
                  </w:r>
                </w:p>
              </w:tc>
              <w:tc>
                <w:tcPr>
                  <w:tcW w:w="10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tc>
            </w:tr>
            <w:tr>
              <w:tblPrEx>
                <w:tblCellMar>
                  <w:top w:w="0" w:type="dxa"/>
                  <w:left w:w="0" w:type="dxa"/>
                  <w:bottom w:w="0" w:type="dxa"/>
                  <w:right w:w="0" w:type="dxa"/>
                </w:tblCellMar>
              </w:tblPrEx>
              <w:trPr>
                <w:trHeight w:val="406" w:hRule="atLeast"/>
              </w:trPr>
              <w:tc>
                <w:tcPr>
                  <w:tcW w:w="277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施工图审查单位</w:t>
                  </w:r>
                </w:p>
              </w:tc>
              <w:tc>
                <w:tcPr>
                  <w:tcW w:w="1880"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tc>
              <w:tc>
                <w:tcPr>
                  <w:tcW w:w="3045" w:type="dxa"/>
                  <w:gridSpan w:val="3"/>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预算编制单位</w:t>
                  </w:r>
                </w:p>
              </w:tc>
              <w:tc>
                <w:tcPr>
                  <w:tcW w:w="10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tc>
            </w:tr>
            <w:tr>
              <w:tblPrEx>
                <w:tblCellMar>
                  <w:top w:w="0" w:type="dxa"/>
                  <w:left w:w="0" w:type="dxa"/>
                  <w:bottom w:w="0" w:type="dxa"/>
                  <w:right w:w="0" w:type="dxa"/>
                </w:tblCellMar>
              </w:tblPrEx>
              <w:trPr>
                <w:trHeight w:val="412" w:hRule="atLeast"/>
              </w:trPr>
              <w:tc>
                <w:tcPr>
                  <w:tcW w:w="277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预算编制金额</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（万元）</w:t>
                  </w:r>
                </w:p>
              </w:tc>
              <w:tc>
                <w:tcPr>
                  <w:tcW w:w="1880"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tc>
              <w:tc>
                <w:tcPr>
                  <w:tcW w:w="3045" w:type="dxa"/>
                  <w:gridSpan w:val="3"/>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预算审批文号</w:t>
                  </w:r>
                </w:p>
              </w:tc>
              <w:tc>
                <w:tcPr>
                  <w:tcW w:w="10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tc>
            </w:tr>
            <w:tr>
              <w:tblPrEx>
                <w:tblCellMar>
                  <w:top w:w="0" w:type="dxa"/>
                  <w:left w:w="0" w:type="dxa"/>
                  <w:bottom w:w="0" w:type="dxa"/>
                  <w:right w:w="0" w:type="dxa"/>
                </w:tblCellMar>
              </w:tblPrEx>
              <w:trPr>
                <w:trHeight w:val="417" w:hRule="atLeast"/>
              </w:trPr>
              <w:tc>
                <w:tcPr>
                  <w:tcW w:w="277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预算审核单位</w:t>
                  </w:r>
                </w:p>
              </w:tc>
              <w:tc>
                <w:tcPr>
                  <w:tcW w:w="1880"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tc>
              <w:tc>
                <w:tcPr>
                  <w:tcW w:w="3045" w:type="dxa"/>
                  <w:gridSpan w:val="3"/>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预算审核金额（万元）</w:t>
                  </w:r>
                </w:p>
              </w:tc>
              <w:tc>
                <w:tcPr>
                  <w:tcW w:w="10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tc>
            </w:tr>
            <w:tr>
              <w:tblPrEx>
                <w:tblCellMar>
                  <w:top w:w="0" w:type="dxa"/>
                  <w:left w:w="0" w:type="dxa"/>
                  <w:bottom w:w="0" w:type="dxa"/>
                  <w:right w:w="0" w:type="dxa"/>
                </w:tblCellMar>
              </w:tblPrEx>
              <w:trPr>
                <w:trHeight w:val="409" w:hRule="atLeast"/>
              </w:trPr>
              <w:tc>
                <w:tcPr>
                  <w:tcW w:w="277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招标方式</w:t>
                  </w:r>
                </w:p>
              </w:tc>
              <w:tc>
                <w:tcPr>
                  <w:tcW w:w="1880"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tc>
              <w:tc>
                <w:tcPr>
                  <w:tcW w:w="3045" w:type="dxa"/>
                  <w:gridSpan w:val="3"/>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招标限价金额（万元）</w:t>
                  </w:r>
                </w:p>
              </w:tc>
              <w:tc>
                <w:tcPr>
                  <w:tcW w:w="10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tc>
            </w:tr>
            <w:tr>
              <w:tblPrEx>
                <w:tblCellMar>
                  <w:top w:w="0" w:type="dxa"/>
                  <w:left w:w="0" w:type="dxa"/>
                  <w:bottom w:w="0" w:type="dxa"/>
                  <w:right w:w="0" w:type="dxa"/>
                </w:tblCellMar>
              </w:tblPrEx>
              <w:trPr>
                <w:trHeight w:val="416" w:hRule="atLeast"/>
              </w:trPr>
              <w:tc>
                <w:tcPr>
                  <w:tcW w:w="277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招标代理单位</w:t>
                  </w:r>
                </w:p>
              </w:tc>
              <w:tc>
                <w:tcPr>
                  <w:tcW w:w="1880"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tc>
              <w:tc>
                <w:tcPr>
                  <w:tcW w:w="3045" w:type="dxa"/>
                  <w:gridSpan w:val="3"/>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中标金额（元）</w:t>
                  </w:r>
                </w:p>
              </w:tc>
              <w:tc>
                <w:tcPr>
                  <w:tcW w:w="10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tc>
            </w:tr>
            <w:tr>
              <w:tblPrEx>
                <w:tblCellMar>
                  <w:top w:w="0" w:type="dxa"/>
                  <w:left w:w="0" w:type="dxa"/>
                  <w:bottom w:w="0" w:type="dxa"/>
                  <w:right w:w="0" w:type="dxa"/>
                </w:tblCellMar>
              </w:tblPrEx>
              <w:trPr>
                <w:trHeight w:val="266" w:hRule="atLeast"/>
              </w:trPr>
              <w:tc>
                <w:tcPr>
                  <w:tcW w:w="277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中标施工单位</w:t>
                  </w:r>
                </w:p>
              </w:tc>
              <w:tc>
                <w:tcPr>
                  <w:tcW w:w="1880"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tc>
              <w:tc>
                <w:tcPr>
                  <w:tcW w:w="3045" w:type="dxa"/>
                  <w:gridSpan w:val="3"/>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监理单位</w:t>
                  </w:r>
                </w:p>
              </w:tc>
              <w:tc>
                <w:tcPr>
                  <w:tcW w:w="10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tc>
            </w:tr>
            <w:tr>
              <w:tblPrEx>
                <w:tblCellMar>
                  <w:top w:w="0" w:type="dxa"/>
                  <w:left w:w="0" w:type="dxa"/>
                  <w:bottom w:w="0" w:type="dxa"/>
                  <w:right w:w="0" w:type="dxa"/>
                </w:tblCellMar>
              </w:tblPrEx>
              <w:trPr>
                <w:trHeight w:val="355" w:hRule="atLeast"/>
              </w:trPr>
              <w:tc>
                <w:tcPr>
                  <w:tcW w:w="277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项目开工时间</w:t>
                  </w:r>
                </w:p>
              </w:tc>
              <w:tc>
                <w:tcPr>
                  <w:tcW w:w="1880"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tc>
              <w:tc>
                <w:tcPr>
                  <w:tcW w:w="3045" w:type="dxa"/>
                  <w:gridSpan w:val="3"/>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项目竣</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交）工时间</w:t>
                  </w:r>
                </w:p>
              </w:tc>
              <w:tc>
                <w:tcPr>
                  <w:tcW w:w="109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tc>
            </w:tr>
            <w:tr>
              <w:tblPrEx>
                <w:tblCellMar>
                  <w:top w:w="0" w:type="dxa"/>
                  <w:left w:w="0" w:type="dxa"/>
                  <w:bottom w:w="0" w:type="dxa"/>
                  <w:right w:w="0" w:type="dxa"/>
                </w:tblCellMar>
              </w:tblPrEx>
              <w:trPr>
                <w:trHeight w:val="472" w:hRule="atLeast"/>
              </w:trPr>
              <w:tc>
                <w:tcPr>
                  <w:tcW w:w="277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已报批的变更增加（减少）金额（元）</w:t>
                  </w:r>
                </w:p>
              </w:tc>
              <w:tc>
                <w:tcPr>
                  <w:tcW w:w="1880"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tc>
              <w:tc>
                <w:tcPr>
                  <w:tcW w:w="3045" w:type="dxa"/>
                  <w:gridSpan w:val="3"/>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已审核变更审批增加（减少）金额（元）</w:t>
                  </w:r>
                </w:p>
              </w:tc>
              <w:tc>
                <w:tcPr>
                  <w:tcW w:w="10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tc>
            </w:tr>
            <w:tr>
              <w:tblPrEx>
                <w:tblCellMar>
                  <w:top w:w="0" w:type="dxa"/>
                  <w:left w:w="0" w:type="dxa"/>
                  <w:bottom w:w="0" w:type="dxa"/>
                  <w:right w:w="0" w:type="dxa"/>
                </w:tblCellMar>
              </w:tblPrEx>
              <w:trPr>
                <w:trHeight w:val="332" w:hRule="atLeast"/>
              </w:trPr>
              <w:tc>
                <w:tcPr>
                  <w:tcW w:w="277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施工单位报送结算金额（元）</w:t>
                  </w:r>
                </w:p>
              </w:tc>
              <w:tc>
                <w:tcPr>
                  <w:tcW w:w="1880"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tc>
              <w:tc>
                <w:tcPr>
                  <w:tcW w:w="3045" w:type="dxa"/>
                  <w:gridSpan w:val="3"/>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项目单位委托结算审核中介单位</w:t>
                  </w:r>
                </w:p>
              </w:tc>
              <w:tc>
                <w:tcPr>
                  <w:tcW w:w="1093"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tc>
            </w:tr>
            <w:tr>
              <w:tblPrEx>
                <w:tblCellMar>
                  <w:top w:w="0" w:type="dxa"/>
                  <w:left w:w="0" w:type="dxa"/>
                  <w:bottom w:w="0" w:type="dxa"/>
                  <w:right w:w="0" w:type="dxa"/>
                </w:tblCellMar>
              </w:tblPrEx>
              <w:trPr>
                <w:trHeight w:val="412" w:hRule="atLeast"/>
              </w:trPr>
              <w:tc>
                <w:tcPr>
                  <w:tcW w:w="277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项目单位确认结算金额（元）</w:t>
                  </w:r>
                </w:p>
              </w:tc>
              <w:tc>
                <w:tcPr>
                  <w:tcW w:w="1880"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tc>
              <w:tc>
                <w:tcPr>
                  <w:tcW w:w="3045" w:type="dxa"/>
                  <w:gridSpan w:val="3"/>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已累计支付工程款</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金额（元）</w:t>
                  </w:r>
                </w:p>
              </w:tc>
              <w:tc>
                <w:tcPr>
                  <w:tcW w:w="10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tc>
            </w:tr>
            <w:tr>
              <w:tblPrEx>
                <w:tblCellMar>
                  <w:top w:w="0" w:type="dxa"/>
                  <w:left w:w="0" w:type="dxa"/>
                  <w:bottom w:w="0" w:type="dxa"/>
                  <w:right w:w="0" w:type="dxa"/>
                </w:tblCellMar>
              </w:tblPrEx>
              <w:trPr>
                <w:trHeight w:val="840" w:hRule="atLeast"/>
              </w:trPr>
              <w:tc>
                <w:tcPr>
                  <w:tcW w:w="8788" w:type="dxa"/>
                  <w:gridSpan w:val="7"/>
                  <w:tcBorders>
                    <w:top w:val="single" w:color="auto" w:sz="4" w:space="0"/>
                    <w:left w:val="nil"/>
                    <w:bottom w:val="nil"/>
                    <w:right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备注：</w:t>
                  </w:r>
                  <w:r>
                    <w:rPr>
                      <w:rFonts w:hint="eastAsia" w:ascii="方正仿宋_GBK" w:hAnsi="方正仿宋_GBK" w:eastAsia="方正仿宋_GBK" w:cs="方正仿宋_GBK"/>
                      <w:sz w:val="32"/>
                      <w:szCs w:val="32"/>
                    </w:rPr>
                    <w:t>本表一式三份，附项目结算书（原则上一审原件）和定案表（复印件）进行报备，区审计局留存一份，区国有投资评审中心留存一份，项目单位留存一份。项目建设业主单位应对上述填报内容的真实性、合法性、完整性负责。</w:t>
                  </w:r>
                </w:p>
              </w:tc>
            </w:tr>
            <w:tr>
              <w:tblPrEx>
                <w:tblCellMar>
                  <w:top w:w="0" w:type="dxa"/>
                  <w:left w:w="0" w:type="dxa"/>
                  <w:bottom w:w="0" w:type="dxa"/>
                  <w:right w:w="0" w:type="dxa"/>
                </w:tblCellMar>
              </w:tblPrEx>
              <w:trPr>
                <w:trHeight w:val="540" w:hRule="atLeast"/>
              </w:trPr>
              <w:tc>
                <w:tcPr>
                  <w:tcW w:w="4984" w:type="dxa"/>
                  <w:gridSpan w:val="4"/>
                  <w:tcBorders>
                    <w:top w:val="nil"/>
                    <w:left w:val="nil"/>
                    <w:bottom w:val="nil"/>
                    <w:right w:val="nil"/>
                  </w:tcBorders>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填报单位负责人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签字）：</w:t>
                  </w:r>
                </w:p>
              </w:tc>
              <w:tc>
                <w:tcPr>
                  <w:tcW w:w="2480" w:type="dxa"/>
                  <w:tcBorders>
                    <w:top w:val="nil"/>
                    <w:left w:val="nil"/>
                    <w:bottom w:val="nil"/>
                    <w:right w:val="nil"/>
                  </w:tcBorders>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填报人（签字）：</w:t>
                  </w:r>
                </w:p>
              </w:tc>
              <w:tc>
                <w:tcPr>
                  <w:tcW w:w="1324" w:type="dxa"/>
                  <w:gridSpan w:val="2"/>
                  <w:tcBorders>
                    <w:top w:val="nil"/>
                    <w:left w:val="nil"/>
                    <w:bottom w:val="nil"/>
                    <w:right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rPr>
                  </w:pPr>
                </w:p>
              </w:tc>
            </w:tr>
            <w:tr>
              <w:tblPrEx>
                <w:tblCellMar>
                  <w:top w:w="0" w:type="dxa"/>
                  <w:left w:w="0" w:type="dxa"/>
                  <w:bottom w:w="0" w:type="dxa"/>
                  <w:right w:w="0" w:type="dxa"/>
                </w:tblCellMar>
              </w:tblPrEx>
              <w:trPr>
                <w:trHeight w:val="540" w:hRule="atLeast"/>
              </w:trPr>
              <w:tc>
                <w:tcPr>
                  <w:tcW w:w="3144" w:type="dxa"/>
                  <w:gridSpan w:val="2"/>
                  <w:tcBorders>
                    <w:top w:val="nil"/>
                    <w:left w:val="nil"/>
                    <w:bottom w:val="nil"/>
                    <w:right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填报单位（盖章）：</w:t>
                  </w:r>
                </w:p>
              </w:tc>
              <w:tc>
                <w:tcPr>
                  <w:tcW w:w="1840" w:type="dxa"/>
                  <w:gridSpan w:val="2"/>
                  <w:tcBorders>
                    <w:top w:val="nil"/>
                    <w:left w:val="nil"/>
                    <w:bottom w:val="nil"/>
                    <w:right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rPr>
                  </w:pPr>
                </w:p>
              </w:tc>
              <w:tc>
                <w:tcPr>
                  <w:tcW w:w="2480" w:type="dxa"/>
                  <w:tcBorders>
                    <w:top w:val="nil"/>
                    <w:left w:val="nil"/>
                    <w:bottom w:val="nil"/>
                    <w:right w:val="nil"/>
                  </w:tcBorders>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项目负责人</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（签字）：</w:t>
                  </w:r>
                </w:p>
              </w:tc>
              <w:tc>
                <w:tcPr>
                  <w:tcW w:w="1324" w:type="dxa"/>
                  <w:gridSpan w:val="2"/>
                  <w:tcBorders>
                    <w:top w:val="nil"/>
                    <w:left w:val="nil"/>
                    <w:bottom w:val="nil"/>
                    <w:right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rPr>
                  </w:pPr>
                </w:p>
              </w:tc>
            </w:tr>
            <w:tr>
              <w:tblPrEx>
                <w:tblCellMar>
                  <w:top w:w="0" w:type="dxa"/>
                  <w:left w:w="0" w:type="dxa"/>
                  <w:bottom w:w="0" w:type="dxa"/>
                  <w:right w:w="0" w:type="dxa"/>
                </w:tblCellMar>
              </w:tblPrEx>
              <w:trPr>
                <w:trHeight w:val="540" w:hRule="atLeast"/>
              </w:trPr>
              <w:tc>
                <w:tcPr>
                  <w:tcW w:w="3144" w:type="dxa"/>
                  <w:gridSpan w:val="2"/>
                  <w:tcBorders>
                    <w:top w:val="nil"/>
                    <w:left w:val="nil"/>
                    <w:bottom w:val="nil"/>
                    <w:right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rPr>
                  </w:pPr>
                </w:p>
              </w:tc>
              <w:tc>
                <w:tcPr>
                  <w:tcW w:w="1840" w:type="dxa"/>
                  <w:gridSpan w:val="2"/>
                  <w:tcBorders>
                    <w:top w:val="nil"/>
                    <w:left w:val="nil"/>
                    <w:bottom w:val="nil"/>
                    <w:right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rPr>
                  </w:pPr>
                </w:p>
              </w:tc>
              <w:tc>
                <w:tcPr>
                  <w:tcW w:w="3804" w:type="dxa"/>
                  <w:gridSpan w:val="3"/>
                  <w:tcBorders>
                    <w:top w:val="nil"/>
                    <w:left w:val="nil"/>
                    <w:bottom w:val="nil"/>
                    <w:right w:val="nil"/>
                  </w:tcBorders>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区评审中心签收：</w:t>
                  </w:r>
                </w:p>
              </w:tc>
            </w:tr>
            <w:tr>
              <w:tblPrEx>
                <w:tblCellMar>
                  <w:top w:w="0" w:type="dxa"/>
                  <w:left w:w="0" w:type="dxa"/>
                  <w:bottom w:w="0" w:type="dxa"/>
                  <w:right w:w="0" w:type="dxa"/>
                </w:tblCellMar>
              </w:tblPrEx>
              <w:trPr>
                <w:trHeight w:val="540" w:hRule="atLeast"/>
              </w:trPr>
              <w:tc>
                <w:tcPr>
                  <w:tcW w:w="3144" w:type="dxa"/>
                  <w:gridSpan w:val="2"/>
                  <w:tcBorders>
                    <w:top w:val="nil"/>
                    <w:left w:val="nil"/>
                    <w:bottom w:val="nil"/>
                    <w:right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rPr>
                  </w:pPr>
                </w:p>
              </w:tc>
              <w:tc>
                <w:tcPr>
                  <w:tcW w:w="1840" w:type="dxa"/>
                  <w:gridSpan w:val="2"/>
                  <w:tcBorders>
                    <w:top w:val="nil"/>
                    <w:left w:val="nil"/>
                    <w:bottom w:val="nil"/>
                    <w:right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rPr>
                  </w:pPr>
                </w:p>
              </w:tc>
              <w:tc>
                <w:tcPr>
                  <w:tcW w:w="2480" w:type="dxa"/>
                  <w:tcBorders>
                    <w:top w:val="nil"/>
                    <w:left w:val="nil"/>
                    <w:bottom w:val="nil"/>
                    <w:right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区审计局签收：</w:t>
                  </w:r>
                </w:p>
              </w:tc>
              <w:tc>
                <w:tcPr>
                  <w:tcW w:w="1324" w:type="dxa"/>
                  <w:gridSpan w:val="2"/>
                  <w:tcBorders>
                    <w:top w:val="nil"/>
                    <w:left w:val="nil"/>
                    <w:bottom w:val="nil"/>
                    <w:right w:val="nil"/>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rPr>
                  </w:pPr>
                </w:p>
              </w:tc>
            </w:tr>
          </w:tbl>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宋体" w:hAnsi="宋体"/>
              </w:rPr>
            </w:pPr>
          </w:p>
        </w:tc>
      </w:tr>
    </w:tbl>
    <w:p>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rPr>
          <w:rFonts w:ascii="宋体" w:hAnsi="宋体" w:eastAsia="方正仿宋_GBK" w:cs="方正仿宋_GBK"/>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p>
    <w:sectPr>
      <w:headerReference r:id="rId3" w:type="default"/>
      <w:footerReference r:id="rId4" w:type="default"/>
      <w:pgSz w:w="11906" w:h="16838"/>
      <w:pgMar w:top="1962" w:right="1474" w:bottom="1848" w:left="1587" w:header="851" w:footer="992" w:gutter="0"/>
      <w:pgNumType w:fmt="numberInDash"/>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sz w:val="32"/>
      </w:rPr>
    </w:pPr>
    <w:r>
      <w:rPr>
        <w:sz w:val="32"/>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6" name="文本框 6"/>
              <wp:cNvGraphicFramePr/>
              <a:graphic xmlns:a="http://schemas.openxmlformats.org/drawingml/2006/main">
                <a:graphicData uri="http://schemas.microsoft.com/office/word/2010/wordprocessingShape">
                  <wps:wsp>
                    <wps:cNvSpPr/>
                    <wps:spPr>
                      <a:xfrm>
                        <a:off x="0" y="0"/>
                        <a:ext cx="444499" cy="230251"/>
                      </a:xfrm>
                      <a:prstGeom prst="rect">
                        <a:avLst/>
                      </a:prstGeom>
                      <a:noFill/>
                      <a:ln w="6350" cap="flat" cmpd="sng">
                        <a:noFill/>
                        <a:prstDash val="solid"/>
                        <a:round/>
                      </a:ln>
                    </wps:spPr>
                    <wps:txbx>
                      <w:txbxContent>
                        <w:p>
                          <w:pPr>
                            <w:pStyle w:val="4"/>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- 1 -</w:t>
                          </w:r>
                          <w:r>
                            <w:rPr>
                              <w:rFonts w:hint="eastAsia" w:asci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rect id="文本框 6" o:spid="_x0000_s1026" o:spt="1" style="position:absolute;left:0pt;margin-top:0pt;height:18.15pt;width:35pt;mso-position-horizontal:outside;mso-position-horizontal-relative:margin;mso-wrap-style:none;z-index:251659264;mso-width-relative:page;mso-height-relative:page;" filled="f" stroked="f" coordsize="21600,21600" o:gfxdata="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256p9YAAAADAQAADwAAAAAAAAABACAAAAAiAAAAZHJzL2Rv&#10;d25yZXYueG1sUEsBAhQAFAAAAAgAh07iQFRjGuMDAgAA9AMAAA4AAAAAAAAAAQAgAAAAJQEAAGRy&#10;cy9lMm9Eb2MueG1sUEsFBgAAAAAGAAYAWQEAAJoFAAAAAA==&#10;">
              <v:fill on="f" focussize="0,0"/>
              <v:stroke on="f" weight="0.5pt" joinstyle="round"/>
              <v:imagedata o:title=""/>
              <o:lock v:ext="edit" aspectratio="f"/>
              <v:textbox inset="0mm,0mm,0mm,0mm" style="mso-fit-shape-to-text:t;">
                <w:txbxContent>
                  <w:p>
                    <w:pPr>
                      <w:pStyle w:val="4"/>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- 1 -</w:t>
                    </w:r>
                    <w:r>
                      <w:rPr>
                        <w:rFonts w:hint="eastAsia" w:ascii="宋体" w:eastAsia="宋体" w:cs="宋体"/>
                        <w:sz w:val="28"/>
                        <w:szCs w:val="28"/>
                      </w:rPr>
                      <w:fldChar w:fldCharType="end"/>
                    </w:r>
                  </w:p>
                </w:txbxContent>
              </v:textbox>
            </v:rect>
          </w:pict>
        </mc:Fallback>
      </mc:AlternateContent>
    </w:r>
  </w:p>
  <w:p>
    <w:pPr>
      <w:pStyle w:val="5"/>
      <w:ind w:left="4788" w:leftChars="2280" w:firstLine="6400" w:firstLineChars="2000"/>
      <w:rPr>
        <w:sz w:val="32"/>
      </w:rPr>
    </w:pPr>
    <w:r>
      <w:rPr>
        <w:color w:val="FAFAFA"/>
        <w:sz w:val="32"/>
      </w:rPr>
      <mc:AlternateContent>
        <mc:Choice Requires="wps">
          <w:drawing>
            <wp:anchor distT="0" distB="0" distL="113665" distR="113665" simplePos="0" relativeHeight="251659264" behindDoc="0" locked="0" layoutInCell="1" allowOverlap="1">
              <wp:simplePos x="0" y="0"/>
              <wp:positionH relativeFrom="column">
                <wp:posOffset>-5715</wp:posOffset>
              </wp:positionH>
              <wp:positionV relativeFrom="paragraph">
                <wp:posOffset>140335</wp:posOffset>
              </wp:positionV>
              <wp:extent cx="5619750" cy="635"/>
              <wp:effectExtent l="0" t="0" r="0" b="0"/>
              <wp:wrapNone/>
              <wp:docPr id="9" name="直线 9"/>
              <wp:cNvGraphicFramePr/>
              <a:graphic xmlns:a="http://schemas.openxmlformats.org/drawingml/2006/main">
                <a:graphicData uri="http://schemas.microsoft.com/office/word/2010/wordprocessingShape">
                  <wps:wsp>
                    <wps:cNvCnPr/>
                    <wps:spPr>
                      <a:xfrm>
                        <a:off x="0" y="0"/>
                        <a:ext cx="5619750" cy="952"/>
                      </a:xfrm>
                      <a:prstGeom prst="line">
                        <a:avLst/>
                      </a:prstGeom>
                      <a:noFill/>
                      <a:ln w="22225" cap="flat" cmpd="sng">
                        <a:solidFill>
                          <a:srgbClr val="005192"/>
                        </a:solidFill>
                        <a:prstDash val="solid"/>
                        <a:round/>
                      </a:ln>
                    </wps:spPr>
                    <wps:bodyPr vert="horz" wrap="square" lIns="91440" tIns="45720" rIns="91440" bIns="45720" anchor="t" anchorCtr="0" upright="1">
                      <a:noAutofit/>
                    </wps:bodyPr>
                  </wps:wsp>
                </a:graphicData>
              </a:graphic>
            </wp:anchor>
          </w:drawing>
        </mc:Choice>
        <mc:Fallback>
          <w:pict>
            <v:line id="直线 9" o:spid="_x0000_s1026" o:spt="20" style="position:absolute;left:0pt;margin-left:-0.45pt;margin-top:11.05pt;height:0.05pt;width:442.5pt;z-index:251659264;mso-width-relative:page;mso-height-relative:page;" filled="f" stroked="t" coordsize="21600,21600" o:gfxdata="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Sy98A0gAAAAcBAAAPAAAAAAAAAAEA&#10;IAAAACIAAABkcnMvZG93bnJldi54bWxQSwECFAAUAAAACACHTuJAjemqHxUCAAAgBAAADgAAAAAA&#10;AAABACAAAAAhAQAAZHJzL2Uyb0RvYy54bWxQSwUGAAAAAAYABgBZAQAAqAUAAAAA&#10;">
              <v:fill on="f" focussize="0,0"/>
              <v:stroke weight="1.75pt" color="#005192" joinstyle="round"/>
              <v:imagedata o:title=""/>
              <o:lock v:ext="edit" aspectratio="f"/>
            </v:line>
          </w:pict>
        </mc:Fallback>
      </mc:AlternateContent>
    </w:r>
  </w:p>
  <w:p>
    <w:pPr>
      <w:pStyle w:val="5"/>
      <w:wordWrap w:val="0"/>
      <w:jc w:val="right"/>
      <w:rPr>
        <w:rFonts w:hint="eastAsia" w:ascii="宋体" w:eastAsia="宋体" w:cs="宋体"/>
        <w:b/>
        <w:bCs/>
        <w:color w:val="005192"/>
        <w:sz w:val="28"/>
        <w:szCs w:val="44"/>
        <w:lang w:val="en-US" w:eastAsia="zh-CN"/>
      </w:rPr>
    </w:pPr>
    <w:r>
      <w:rPr>
        <w:rFonts w:hint="eastAsia" w:ascii="宋体" w:eastAsia="宋体" w:cs="宋体"/>
        <w:b/>
        <w:bCs/>
        <w:color w:val="005192"/>
        <w:sz w:val="28"/>
        <w:szCs w:val="44"/>
        <w:lang w:val="en-US" w:eastAsia="zh-CN"/>
      </w:rPr>
      <w:t>重庆市江津区财政局发布</w:t>
    </w:r>
    <w:r>
      <w:rPr>
        <w:rFonts w:asci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eastAsia="宋体" w:cs="宋体"/>
        <w:b/>
        <w:bCs/>
        <w:color w:val="005192"/>
        <w:sz w:val="32"/>
      </w:rPr>
    </w:pP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eastAsia="宋体" w:cs="宋体"/>
        <w:b/>
        <w:bCs/>
        <w:color w:val="005192"/>
        <w:sz w:val="32"/>
        <w:szCs w:val="32"/>
        <w:lang w:val="en-US" w:eastAsia="zh-CN"/>
      </w:rPr>
    </w:pPr>
    <w:r>
      <w:rPr>
        <w:rFonts w:hint="eastAsia" w:ascii="宋体" w:eastAsia="宋体" w:cs="宋体"/>
        <w:b/>
        <w:bCs/>
        <w:color w:val="005192"/>
        <w:sz w:val="32"/>
      </w:rPr>
      <w:drawing>
        <wp:inline distT="0" distB="0" distL="114300" distR="114300">
          <wp:extent cx="308610" cy="308610"/>
          <wp:effectExtent l="0" t="0" r="0" b="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w="9525" cap="flat" cmpd="sng">
                    <a:noFill/>
                    <a:prstDash val="solid"/>
                    <a:miter/>
                  </a:ln>
                </pic:spPr>
              </pic:pic>
            </a:graphicData>
          </a:graphic>
        </wp:inline>
      </w:drawing>
    </w:r>
    <w:r>
      <w:rPr>
        <w:rFonts w:hint="eastAsia" w:ascii="宋体" w:eastAsia="宋体" w:cs="宋体"/>
        <w:b/>
        <w:bCs/>
        <w:color w:val="005192"/>
        <w:sz w:val="32"/>
        <w:lang w:eastAsia="zh-CN"/>
      </w:rPr>
      <w:t>重庆市江津</w:t>
    </w:r>
    <w:r>
      <w:rPr>
        <w:rFonts w:ascii="宋体" w:eastAsia="宋体" w:cs="宋体"/>
        <w:b/>
        <w:bCs/>
        <w:color w:val="005192"/>
        <w:sz w:val="32"/>
        <w:lang w:eastAsia="zh-CN"/>
      </w:rPr>
      <w:t>区</w:t>
    </w:r>
    <w:r>
      <w:rPr>
        <w:rFonts w:hint="eastAsia" w:ascii="宋体" w:eastAsia="宋体" w:cs="宋体"/>
        <w:b/>
        <w:bCs/>
        <w:color w:val="005192"/>
        <w:sz w:val="32"/>
        <w:lang w:eastAsia="zh-CN"/>
      </w:rPr>
      <w:t>财政局行政</w:t>
    </w:r>
    <w:r>
      <w:rPr>
        <w:rFonts w:hint="eastAsia" w:ascii="宋体" w:eastAsia="宋体" w:cs="宋体"/>
        <w:b/>
        <w:bCs/>
        <w:color w:val="005192"/>
        <w:sz w:val="32"/>
        <w:szCs w:val="32"/>
        <w:lang w:val="en-US"/>
      </w:rPr>
      <w:t>规范性文件</w:t>
    </w:r>
    <w:r>
      <w:rPr>
        <w:rFonts w:hint="eastAsia" w:ascii="方正仿宋_GBK" w:eastAsia="方正仿宋_GBK" w:cs="方正仿宋_GBK"/>
        <w:b/>
        <w:bCs/>
        <w:color w:val="000000"/>
        <w:sz w:val="32"/>
      </w:rPr>
      <mc:AlternateContent>
        <mc:Choice Requires="wps">
          <w:drawing>
            <wp:anchor distT="0" distB="0" distL="113665" distR="113665" simplePos="0" relativeHeight="251659264" behindDoc="0" locked="0" layoutInCell="1" allowOverlap="1">
              <wp:simplePos x="0" y="0"/>
              <wp:positionH relativeFrom="column">
                <wp:posOffset>0</wp:posOffset>
              </wp:positionH>
              <wp:positionV relativeFrom="paragraph">
                <wp:posOffset>426720</wp:posOffset>
              </wp:positionV>
              <wp:extent cx="5620385" cy="635"/>
              <wp:effectExtent l="0" t="0" r="0" b="0"/>
              <wp:wrapNone/>
              <wp:docPr id="4" name="直线 4"/>
              <wp:cNvGraphicFramePr/>
              <a:graphic xmlns:a="http://schemas.openxmlformats.org/drawingml/2006/main">
                <a:graphicData uri="http://schemas.microsoft.com/office/word/2010/wordprocessingShape">
                  <wps:wsp>
                    <wps:cNvCnPr/>
                    <wps:spPr>
                      <a:xfrm>
                        <a:off x="0" y="0"/>
                        <a:ext cx="5620385" cy="952"/>
                      </a:xfrm>
                      <a:prstGeom prst="line">
                        <a:avLst/>
                      </a:prstGeom>
                      <a:noFill/>
                      <a:ln w="22225" cap="flat" cmpd="sng">
                        <a:solidFill>
                          <a:srgbClr val="005192"/>
                        </a:solidFill>
                        <a:prstDash val="solid"/>
                        <a:round/>
                      </a:ln>
                    </wps:spPr>
                    <wps:bodyPr vert="horz" wrap="square" lIns="91440" tIns="45720" rIns="91440" bIns="45720" anchor="t" anchorCtr="0" upright="1">
                      <a:noAutofit/>
                    </wps:bodyPr>
                  </wps:wsp>
                </a:graphicData>
              </a:graphic>
            </wp:anchor>
          </w:drawing>
        </mc:Choice>
        <mc:Fallback>
          <w:pict>
            <v:line id="直线 4" o:spid="_x0000_s1026" o:spt="20" style="position:absolute;left:0pt;margin-left:0pt;margin-top:33.6pt;height:0.05pt;width:442.55pt;z-index:251659264;mso-width-relative:page;mso-height-relative:page;" filled="f" stroked="t" coordsize="21600,21600" o:gfxdata="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3uzLZ0gAAAAYBAAAPAAAAAAAAAAEA&#10;IAAAACIAAABkcnMvZG93bnJldi54bWxQSwECFAAUAAAACACHTuJAYEew1BUCAAAgBAAADgAAAAAA&#10;AAABACAAAAAhAQAAZHJzL2Uyb0RvYy54bWxQSwUGAAAAAAYABgBZAQAAqAUAAAAA&#10;">
              <v:fill on="f" focussize="0,0"/>
              <v:stroke weight="1.75pt" color="#005192" joinstyle="round"/>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eastAsia="宋体" w:cs="宋体"/>
        <w:b/>
        <w:bCs/>
        <w:color w:val="005192"/>
        <w:sz w:val="13"/>
        <w:szCs w:val="13"/>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8"/>
  <w:displayHorizontalDrawingGridEvery w:val="1"/>
  <w:displayVerticalDrawingGridEvery w:val="2"/>
  <w:noPunctuationKerning w:val="1"/>
  <w:characterSpacingControl w:val="compressPunctuation"/>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docVars>
    <w:docVar w:name="commondata" w:val="eyJoZGlkIjoiMWM1ZGIyYzViOTI5YzU3NDk3Y2I1N2EzNjQwMTY0NmIifQ=="/>
  </w:docVars>
  <w:rsids>
    <w:rsidRoot w:val="00000000"/>
    <w:rsid w:val="22E12881"/>
    <w:rsid w:val="4B7A7015"/>
    <w:rsid w:val="664559EA"/>
    <w:rsid w:val="752651C3"/>
    <w:rsid w:val="789B5FC3"/>
    <w:rsid w:val="7C5468F4"/>
    <w:rsid w:val="7C6D48EF"/>
    <w:rsid w:val="7CC051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4"/>
    <w:basedOn w:val="1"/>
    <w:next w:val="1"/>
    <w:qFormat/>
    <w:uiPriority w:val="0"/>
    <w:pPr>
      <w:keepNext/>
      <w:keepLines/>
      <w:widowControl w:val="0"/>
      <w:spacing w:before="280" w:after="290" w:line="372" w:lineRule="auto"/>
      <w:outlineLvl w:val="3"/>
    </w:pPr>
    <w:rPr>
      <w:rFonts w:ascii="Arial" w:hAnsi="Arial" w:eastAsia="黑体"/>
      <w:b/>
      <w:sz w:val="28"/>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 w:type="character" w:styleId="9">
    <w:name w:val="Strong"/>
    <w:basedOn w:val="8"/>
    <w:qFormat/>
    <w:uiPriority w:val="0"/>
    <w:rPr>
      <w:b/>
      <w:bCs/>
    </w:rPr>
  </w:style>
  <w:style w:type="character" w:styleId="10">
    <w:name w:val="page number"/>
    <w:basedOn w:val="8"/>
    <w:qFormat/>
    <w:uiPriority w:val="0"/>
  </w:style>
  <w:style w:type="paragraph" w:customStyle="1" w:styleId="11">
    <w:name w:val="p0"/>
    <w:basedOn w:val="1"/>
    <w:qFormat/>
    <w:uiPriority w:val="0"/>
    <w:pPr>
      <w:widowControl/>
    </w:pPr>
    <w:rPr>
      <w:rFonts w:ascii="Calibri" w:hAnsi="Calibri" w:eastAsia="宋体" w:cs="宋体"/>
      <w:kern w:val="0"/>
      <w:szCs w:val="32"/>
    </w:rPr>
  </w:style>
  <w:style w:type="paragraph" w:customStyle="1" w:styleId="12">
    <w:name w:val="Default"/>
    <w:qFormat/>
    <w:uiPriority w:val="0"/>
    <w:pPr>
      <w:widowControl w:val="0"/>
      <w:autoSpaceDE w:val="0"/>
      <w:autoSpaceDN w:val="0"/>
      <w:adjustRightInd w:val="0"/>
      <w:spacing w:before="0" w:after="0"/>
    </w:pPr>
    <w:rPr>
      <w:rFonts w:ascii="方正小标宋_GBK" w:hAnsi="Times New Roman" w:eastAsia="方正小标宋_GBK" w:cs="Times New Roman"/>
      <w:color w:val="000000"/>
      <w:sz w:val="24"/>
      <w:lang w:val="en-US" w:eastAsia="zh-CN" w:bidi="ar-SA"/>
    </w:rPr>
  </w:style>
  <w:style w:type="paragraph" w:customStyle="1" w:styleId="13">
    <w:name w:val="CM2"/>
    <w:basedOn w:val="12"/>
    <w:next w:val="12"/>
    <w:qFormat/>
    <w:uiPriority w:val="0"/>
    <w:pPr>
      <w:spacing w:before="0" w:after="0" w:line="600" w:lineRule="atLeast"/>
    </w:pPr>
    <w:rPr>
      <w:sz w:val="24"/>
    </w:rPr>
  </w:style>
  <w:style w:type="paragraph" w:customStyle="1" w:styleId="14">
    <w:name w:val="CM3"/>
    <w:basedOn w:val="12"/>
    <w:next w:val="12"/>
    <w:qFormat/>
    <w:uiPriority w:val="0"/>
    <w:pPr>
      <w:spacing w:before="0" w:after="0" w:line="600" w:lineRule="atLeast"/>
    </w:pPr>
    <w:rPr>
      <w:sz w:val="24"/>
    </w:rPr>
  </w:style>
  <w:style w:type="paragraph" w:customStyle="1" w:styleId="15">
    <w:name w:val="CM5"/>
    <w:basedOn w:val="12"/>
    <w:next w:val="12"/>
    <w:qFormat/>
    <w:uiPriority w:val="0"/>
    <w:pPr>
      <w:spacing w:before="0" w:after="0" w:line="600" w:lineRule="atLeast"/>
    </w:pPr>
    <w:rPr>
      <w:sz w:val="24"/>
    </w:rPr>
  </w:style>
  <w:style w:type="paragraph" w:customStyle="1" w:styleId="16">
    <w:name w:val="CM6"/>
    <w:basedOn w:val="12"/>
    <w:next w:val="12"/>
    <w:qFormat/>
    <w:uiPriority w:val="0"/>
    <w:pPr>
      <w:spacing w:before="0" w:after="0" w:line="600" w:lineRule="atLeast"/>
    </w:pPr>
    <w:rPr>
      <w:sz w:val="24"/>
    </w:rPr>
  </w:style>
  <w:style w:type="paragraph" w:customStyle="1" w:styleId="17">
    <w:name w:val="CM7"/>
    <w:basedOn w:val="12"/>
    <w:next w:val="12"/>
    <w:qFormat/>
    <w:uiPriority w:val="0"/>
    <w:pPr>
      <w:spacing w:before="0" w:after="0" w:line="600" w:lineRule="atLeast"/>
    </w:pPr>
    <w:rPr>
      <w:sz w:val="24"/>
    </w:rPr>
  </w:style>
  <w:style w:type="paragraph" w:customStyle="1" w:styleId="18">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19</Pages>
  <Words>6882</Words>
  <Characters>7020</Characters>
  <Lines>235</Lines>
  <Paragraphs>86</Paragraphs>
  <TotalTime>19</TotalTime>
  <ScaleCrop>false</ScaleCrop>
  <LinksUpToDate>false</LinksUpToDate>
  <CharactersWithSpaces>7304</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唐琳琳</cp:lastModifiedBy>
  <cp:lastPrinted>2022-06-06T16:09:00Z</cp:lastPrinted>
  <dcterms:modified xsi:type="dcterms:W3CDTF">2023-12-29T08:18:44Z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A1D2E5DF70E1400CA8F2316E5E393956</vt:lpwstr>
  </property>
</Properties>
</file>