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被处罚人：</w:t>
      </w:r>
      <w:bookmarkStart w:id="0" w:name="_GoBack"/>
      <w:r>
        <w:rPr>
          <w:rFonts w:hint="eastAsia"/>
          <w:lang w:val="en-US" w:eastAsia="zh-CN"/>
        </w:rPr>
        <w:t>重庆耀康建设有限公司</w:t>
      </w:r>
    </w:p>
    <w:bookmarkEnd w:id="0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行政处罚决定书文号：（津）建简罚字（2024）第1-10-3号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违法行为类型：《重庆市建设工程安全生产管理办法》(市政府令289号)第二十四条第六项规定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违法事实：1、塔机二级配电箱灭火器失效。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处罚依据：《重庆市建设工程安全生产管理办法》（市政府令第289号）第四十五条第二项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处罚类别：罚款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罚款金额：200.00元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处罚决定日期：2024年10月22日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MGY0NzIwNjA3Y2E5NjY4MzAyYTcxZmQ0MGU4NzUifQ=="/>
  </w:docVars>
  <w:rsids>
    <w:rsidRoot w:val="59F76D34"/>
    <w:rsid w:val="10914DB8"/>
    <w:rsid w:val="59F7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2024-10-31T06:18:00Z</dcterms:created>
  <dc:creator>katt</dc:creator>
  <cp:lastModifiedBy>Administrator</cp:lastModifiedBy>
  <dcterms:modified xsi:type="dcterms:W3CDTF">2024-11-20T01:02:34Z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500498856A3D4769BFC78C331AA434AB</vt:lpwstr>
  </property>
</Properties>
</file>